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1CA4B">
      <w:pPr>
        <w:ind w:firstLine="0" w:firstLineChars="0"/>
        <w:jc w:val="center"/>
        <w:rPr>
          <w:sz w:val="44"/>
          <w:szCs w:val="44"/>
        </w:rPr>
      </w:pPr>
      <w:bookmarkStart w:id="0" w:name="_Toc213396759"/>
      <w:bookmarkStart w:id="1" w:name="_Toc213496267"/>
      <w:bookmarkStart w:id="2" w:name="_Toc213397009"/>
      <w:bookmarkStart w:id="3" w:name="_Toc213396945"/>
      <w:bookmarkStart w:id="4" w:name="_Toc35681773"/>
      <w:bookmarkStart w:id="5" w:name="_Toc35683734"/>
      <w:bookmarkStart w:id="6" w:name="_Toc217446031"/>
      <w:bookmarkStart w:id="7" w:name="_Toc35689682"/>
      <w:r>
        <w:rPr>
          <w:rFonts w:hint="eastAsia" w:ascii="方正小标宋_GBK" w:hAnsi="方正小标宋_GBK" w:eastAsia="方正小标宋_GBK" w:cs="方正小标宋_GBK"/>
          <w:sz w:val="44"/>
          <w:szCs w:val="44"/>
        </w:rPr>
        <w:t>谈判须知</w:t>
      </w:r>
      <w:bookmarkEnd w:id="0"/>
      <w:bookmarkEnd w:id="1"/>
      <w:bookmarkEnd w:id="2"/>
      <w:bookmarkEnd w:id="3"/>
      <w:bookmarkEnd w:id="4"/>
      <w:bookmarkEnd w:id="5"/>
      <w:bookmarkEnd w:id="6"/>
      <w:bookmarkEnd w:id="7"/>
    </w:p>
    <w:p w14:paraId="4C8DF14B">
      <w:pPr>
        <w:ind w:firstLine="883"/>
        <w:jc w:val="center"/>
        <w:outlineLvl w:val="0"/>
        <w:rPr>
          <w:rFonts w:ascii="方正小标宋简体" w:eastAsia="方正小标宋简体" w:cs="Times New Roman"/>
          <w:b/>
          <w:bCs/>
          <w:color w:val="000000"/>
          <w:kern w:val="44"/>
          <w:sz w:val="44"/>
          <w:szCs w:val="44"/>
        </w:rPr>
      </w:pPr>
    </w:p>
    <w:p w14:paraId="0F376FCE">
      <w:pPr>
        <w:ind w:firstLine="640"/>
        <w:outlineLvl w:val="1"/>
        <w:rPr>
          <w:rFonts w:hint="eastAsia" w:ascii="方正黑体_GBK" w:hAnsi="方正黑体_GBK" w:eastAsia="方正黑体_GBK" w:cs="方正黑体_GBK"/>
          <w:bCs/>
          <w:kern w:val="44"/>
          <w:lang w:val="zh-CN"/>
        </w:rPr>
      </w:pPr>
      <w:bookmarkStart w:id="8" w:name="_Toc35681774"/>
      <w:bookmarkStart w:id="9" w:name="_Toc35689683"/>
      <w:bookmarkStart w:id="10" w:name="_Toc35683735"/>
      <w:r>
        <w:rPr>
          <w:rFonts w:hint="eastAsia" w:ascii="方正黑体_GBK" w:hAnsi="方正黑体_GBK" w:eastAsia="方正黑体_GBK" w:cs="方正黑体_GBK"/>
          <w:bCs/>
          <w:kern w:val="44"/>
          <w:lang w:val="zh-CN"/>
        </w:rPr>
        <w:t>一、供应商须知</w:t>
      </w:r>
      <w:bookmarkEnd w:id="8"/>
      <w:bookmarkEnd w:id="9"/>
      <w:bookmarkEnd w:id="10"/>
    </w:p>
    <w:tbl>
      <w:tblPr>
        <w:tblStyle w:val="11"/>
        <w:tblW w:w="8414" w:type="dxa"/>
        <w:tblInd w:w="113" w:type="dxa"/>
        <w:tblLayout w:type="autofit"/>
        <w:tblCellMar>
          <w:top w:w="0" w:type="dxa"/>
          <w:left w:w="108" w:type="dxa"/>
          <w:bottom w:w="0" w:type="dxa"/>
          <w:right w:w="108" w:type="dxa"/>
        </w:tblCellMar>
      </w:tblPr>
      <w:tblGrid>
        <w:gridCol w:w="880"/>
        <w:gridCol w:w="1942"/>
        <w:gridCol w:w="5592"/>
      </w:tblGrid>
      <w:tr w14:paraId="1B1E879C">
        <w:tblPrEx>
          <w:tblCellMar>
            <w:top w:w="0" w:type="dxa"/>
            <w:left w:w="108" w:type="dxa"/>
            <w:bottom w:w="0" w:type="dxa"/>
            <w:right w:w="108" w:type="dxa"/>
          </w:tblCellMar>
        </w:tblPrEx>
        <w:trPr>
          <w:trHeight w:val="254" w:hRule="atLeast"/>
        </w:trPr>
        <w:tc>
          <w:tcPr>
            <w:tcW w:w="880" w:type="dxa"/>
            <w:tcBorders>
              <w:top w:val="single" w:color="auto" w:sz="4" w:space="0"/>
              <w:left w:val="single" w:color="auto" w:sz="4" w:space="0"/>
              <w:bottom w:val="single" w:color="auto" w:sz="4" w:space="0"/>
              <w:right w:val="single" w:color="auto" w:sz="4" w:space="0"/>
            </w:tcBorders>
            <w:vAlign w:val="center"/>
          </w:tcPr>
          <w:p w14:paraId="13806D24">
            <w:pPr>
              <w:widowControl/>
              <w:ind w:firstLine="0"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序号 </w:t>
            </w:r>
          </w:p>
        </w:tc>
        <w:tc>
          <w:tcPr>
            <w:tcW w:w="1942" w:type="dxa"/>
            <w:tcBorders>
              <w:top w:val="single" w:color="auto" w:sz="4" w:space="0"/>
              <w:left w:val="nil"/>
              <w:bottom w:val="single" w:color="auto" w:sz="4" w:space="0"/>
              <w:right w:val="single" w:color="auto" w:sz="4" w:space="0"/>
            </w:tcBorders>
            <w:vAlign w:val="center"/>
          </w:tcPr>
          <w:p w14:paraId="6C344C94">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应知事项</w:t>
            </w:r>
          </w:p>
        </w:tc>
        <w:tc>
          <w:tcPr>
            <w:tcW w:w="5592" w:type="dxa"/>
            <w:tcBorders>
              <w:top w:val="single" w:color="auto" w:sz="4" w:space="0"/>
              <w:left w:val="nil"/>
              <w:bottom w:val="single" w:color="auto" w:sz="4" w:space="0"/>
              <w:right w:val="single" w:color="auto" w:sz="4" w:space="0"/>
            </w:tcBorders>
            <w:vAlign w:val="center"/>
          </w:tcPr>
          <w:p w14:paraId="12B32B83">
            <w:pPr>
              <w:widowControl/>
              <w:ind w:firstLine="56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说明和要求</w:t>
            </w:r>
          </w:p>
        </w:tc>
      </w:tr>
      <w:tr w14:paraId="6B2683D2">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14:paraId="5FD4C231">
            <w:pPr>
              <w:widowControl/>
              <w:ind w:firstLine="198" w:firstLineChars="6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w:t>
            </w:r>
          </w:p>
        </w:tc>
        <w:tc>
          <w:tcPr>
            <w:tcW w:w="1942" w:type="dxa"/>
            <w:tcBorders>
              <w:top w:val="nil"/>
              <w:left w:val="nil"/>
              <w:bottom w:val="single" w:color="auto" w:sz="4" w:space="0"/>
              <w:right w:val="single" w:color="auto" w:sz="4" w:space="0"/>
            </w:tcBorders>
            <w:vAlign w:val="center"/>
          </w:tcPr>
          <w:p w14:paraId="29977567">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w:t>
            </w:r>
          </w:p>
        </w:tc>
        <w:tc>
          <w:tcPr>
            <w:tcW w:w="5592" w:type="dxa"/>
            <w:tcBorders>
              <w:top w:val="nil"/>
              <w:left w:val="nil"/>
              <w:bottom w:val="single" w:color="auto" w:sz="4" w:space="0"/>
              <w:right w:val="single" w:color="auto" w:sz="4" w:space="0"/>
            </w:tcBorders>
            <w:vAlign w:val="center"/>
          </w:tcPr>
          <w:p w14:paraId="4A79AF60">
            <w:pPr>
              <w:widowControl/>
              <w:ind w:firstLine="0"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债权变更执行申请人</w:t>
            </w:r>
            <w:r>
              <w:rPr>
                <w:rFonts w:hint="default" w:ascii="Times New Roman" w:hAnsi="Times New Roman" w:eastAsia="方正仿宋_GBK" w:cs="Times New Roman"/>
                <w:color w:val="000000"/>
                <w:kern w:val="0"/>
                <w:sz w:val="32"/>
                <w:szCs w:val="32"/>
                <w:lang w:val="en-US" w:eastAsia="zh-CN"/>
              </w:rPr>
              <w:t>法律</w:t>
            </w:r>
            <w:r>
              <w:rPr>
                <w:rFonts w:hint="default" w:ascii="Times New Roman" w:hAnsi="Times New Roman" w:eastAsia="方正仿宋_GBK" w:cs="Times New Roman"/>
                <w:color w:val="000000"/>
                <w:kern w:val="0"/>
                <w:sz w:val="32"/>
                <w:szCs w:val="32"/>
              </w:rPr>
              <w:t>服务</w:t>
            </w:r>
          </w:p>
        </w:tc>
      </w:tr>
      <w:tr w14:paraId="10913BBA">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14:paraId="3BAA0299">
            <w:pPr>
              <w:widowControl/>
              <w:ind w:firstLine="198" w:firstLineChars="6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p>
        </w:tc>
        <w:tc>
          <w:tcPr>
            <w:tcW w:w="1942" w:type="dxa"/>
            <w:tcBorders>
              <w:top w:val="nil"/>
              <w:left w:val="nil"/>
              <w:bottom w:val="single" w:color="auto" w:sz="4" w:space="0"/>
              <w:right w:val="single" w:color="auto" w:sz="4" w:space="0"/>
            </w:tcBorders>
            <w:vAlign w:val="center"/>
          </w:tcPr>
          <w:p w14:paraId="7E41BB60">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采购编号</w:t>
            </w:r>
          </w:p>
        </w:tc>
        <w:tc>
          <w:tcPr>
            <w:tcW w:w="5592" w:type="dxa"/>
            <w:tcBorders>
              <w:top w:val="nil"/>
              <w:left w:val="nil"/>
              <w:bottom w:val="single" w:color="auto" w:sz="4" w:space="0"/>
              <w:right w:val="single" w:color="auto" w:sz="4" w:space="0"/>
            </w:tcBorders>
            <w:vAlign w:val="center"/>
          </w:tcPr>
          <w:p w14:paraId="7ABF9551">
            <w:pPr>
              <w:pStyle w:val="2"/>
              <w:ind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JRSYB-202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FKZX0</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金源</w:t>
            </w:r>
            <w:r>
              <w:rPr>
                <w:rFonts w:hint="default" w:ascii="Times New Roman" w:hAnsi="Times New Roman" w:eastAsia="方正仿宋_GBK" w:cs="Times New Roman"/>
                <w:sz w:val="32"/>
                <w:szCs w:val="32"/>
              </w:rPr>
              <w:t>）</w:t>
            </w:r>
          </w:p>
        </w:tc>
      </w:tr>
      <w:tr w14:paraId="1B7FA42D">
        <w:tblPrEx>
          <w:tblCellMar>
            <w:top w:w="0" w:type="dxa"/>
            <w:left w:w="108" w:type="dxa"/>
            <w:bottom w:w="0" w:type="dxa"/>
            <w:right w:w="108" w:type="dxa"/>
          </w:tblCellMar>
        </w:tblPrEx>
        <w:trPr>
          <w:trHeight w:val="475" w:hRule="atLeast"/>
        </w:trPr>
        <w:tc>
          <w:tcPr>
            <w:tcW w:w="880" w:type="dxa"/>
            <w:tcBorders>
              <w:top w:val="nil"/>
              <w:left w:val="single" w:color="auto" w:sz="4" w:space="0"/>
              <w:bottom w:val="single" w:color="auto" w:sz="4" w:space="0"/>
              <w:right w:val="single" w:color="auto" w:sz="4" w:space="0"/>
            </w:tcBorders>
            <w:vAlign w:val="center"/>
          </w:tcPr>
          <w:p w14:paraId="562BA3AE">
            <w:pPr>
              <w:widowControl/>
              <w:ind w:firstLine="198" w:firstLineChars="6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w:t>
            </w:r>
          </w:p>
        </w:tc>
        <w:tc>
          <w:tcPr>
            <w:tcW w:w="1942" w:type="dxa"/>
            <w:tcBorders>
              <w:top w:val="nil"/>
              <w:left w:val="nil"/>
              <w:bottom w:val="single" w:color="auto" w:sz="4" w:space="0"/>
              <w:right w:val="single" w:color="auto" w:sz="4" w:space="0"/>
            </w:tcBorders>
            <w:vAlign w:val="center"/>
          </w:tcPr>
          <w:p w14:paraId="474E0AE1">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采购人</w:t>
            </w:r>
          </w:p>
        </w:tc>
        <w:tc>
          <w:tcPr>
            <w:tcW w:w="5592" w:type="dxa"/>
            <w:tcBorders>
              <w:top w:val="nil"/>
              <w:left w:val="nil"/>
              <w:bottom w:val="single" w:color="auto" w:sz="4" w:space="0"/>
              <w:right w:val="single" w:color="auto" w:sz="4" w:space="0"/>
            </w:tcBorders>
            <w:vAlign w:val="center"/>
          </w:tcPr>
          <w:p w14:paraId="5CD851E9">
            <w:pPr>
              <w:widowControl/>
              <w:ind w:firstLine="0"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攀枝花市金源创业投资有限公司</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房女士</w:t>
            </w:r>
            <w:r>
              <w:rPr>
                <w:rFonts w:hint="default" w:ascii="Times New Roman" w:hAnsi="Times New Roman" w:eastAsia="方正仿宋_GBK" w:cs="Times New Roman"/>
                <w:color w:val="000000"/>
                <w:kern w:val="0"/>
                <w:sz w:val="32"/>
                <w:szCs w:val="32"/>
              </w:rPr>
              <w:t xml:space="preserve"> </w:t>
            </w:r>
          </w:p>
          <w:p w14:paraId="0423D597">
            <w:pPr>
              <w:widowControl/>
              <w:ind w:firstLine="0" w:firstLineChars="0"/>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联系电话：</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8080070240</w:t>
            </w:r>
          </w:p>
        </w:tc>
      </w:tr>
      <w:tr w14:paraId="55E9FF69">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14:paraId="2AA3F717">
            <w:pPr>
              <w:widowControl/>
              <w:ind w:firstLine="198" w:firstLineChars="6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p>
        </w:tc>
        <w:tc>
          <w:tcPr>
            <w:tcW w:w="1942" w:type="dxa"/>
            <w:tcBorders>
              <w:top w:val="nil"/>
              <w:left w:val="nil"/>
              <w:bottom w:val="single" w:color="auto" w:sz="4" w:space="0"/>
              <w:right w:val="single" w:color="auto" w:sz="4" w:space="0"/>
            </w:tcBorders>
            <w:vAlign w:val="center"/>
          </w:tcPr>
          <w:p w14:paraId="36461C4D">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采购方式</w:t>
            </w:r>
          </w:p>
        </w:tc>
        <w:tc>
          <w:tcPr>
            <w:tcW w:w="5592" w:type="dxa"/>
            <w:tcBorders>
              <w:top w:val="nil"/>
              <w:left w:val="nil"/>
              <w:bottom w:val="single" w:color="auto" w:sz="4" w:space="0"/>
              <w:right w:val="single" w:color="auto" w:sz="4" w:space="0"/>
            </w:tcBorders>
            <w:vAlign w:val="center"/>
          </w:tcPr>
          <w:p w14:paraId="6A0D0F64">
            <w:pPr>
              <w:widowControl/>
              <w:ind w:firstLine="0"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竞争性谈判</w:t>
            </w:r>
          </w:p>
        </w:tc>
      </w:tr>
      <w:tr w14:paraId="6BAC0612">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14:paraId="428B7BF9">
            <w:pPr>
              <w:widowControl/>
              <w:ind w:firstLine="198" w:firstLineChars="6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w:t>
            </w:r>
          </w:p>
        </w:tc>
        <w:tc>
          <w:tcPr>
            <w:tcW w:w="1942" w:type="dxa"/>
            <w:tcBorders>
              <w:top w:val="nil"/>
              <w:left w:val="nil"/>
              <w:bottom w:val="single" w:color="auto" w:sz="4" w:space="0"/>
              <w:right w:val="single" w:color="auto" w:sz="4" w:space="0"/>
            </w:tcBorders>
            <w:vAlign w:val="center"/>
          </w:tcPr>
          <w:p w14:paraId="19E5E1AF">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评标办法</w:t>
            </w:r>
          </w:p>
        </w:tc>
        <w:tc>
          <w:tcPr>
            <w:tcW w:w="5592" w:type="dxa"/>
            <w:tcBorders>
              <w:top w:val="nil"/>
              <w:left w:val="nil"/>
              <w:bottom w:val="single" w:color="auto" w:sz="4" w:space="0"/>
              <w:right w:val="single" w:color="auto" w:sz="4" w:space="0"/>
            </w:tcBorders>
            <w:vAlign w:val="center"/>
          </w:tcPr>
          <w:p w14:paraId="67C1734F">
            <w:pPr>
              <w:widowControl/>
              <w:ind w:firstLine="0"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最低价中标</w:t>
            </w:r>
            <w:r>
              <w:rPr>
                <w:rFonts w:hint="default" w:ascii="Times New Roman" w:hAnsi="Times New Roman" w:eastAsia="方正仿宋_GBK" w:cs="Times New Roman"/>
                <w:color w:val="000000"/>
                <w:kern w:val="0"/>
                <w:sz w:val="32"/>
                <w:szCs w:val="32"/>
              </w:rPr>
              <w:t>法</w:t>
            </w:r>
          </w:p>
        </w:tc>
      </w:tr>
      <w:tr w14:paraId="278A7EAC">
        <w:tblPrEx>
          <w:tblCellMar>
            <w:top w:w="0" w:type="dxa"/>
            <w:left w:w="108" w:type="dxa"/>
            <w:bottom w:w="0" w:type="dxa"/>
            <w:right w:w="108" w:type="dxa"/>
          </w:tblCellMar>
        </w:tblPrEx>
        <w:trPr>
          <w:trHeight w:val="584" w:hRule="atLeast"/>
        </w:trPr>
        <w:tc>
          <w:tcPr>
            <w:tcW w:w="880" w:type="dxa"/>
            <w:tcBorders>
              <w:top w:val="nil"/>
              <w:left w:val="single" w:color="auto" w:sz="4" w:space="0"/>
              <w:bottom w:val="single" w:color="auto" w:sz="4" w:space="0"/>
              <w:right w:val="single" w:color="auto" w:sz="4" w:space="0"/>
            </w:tcBorders>
            <w:vAlign w:val="center"/>
          </w:tcPr>
          <w:p w14:paraId="6E1AE501">
            <w:pPr>
              <w:widowControl/>
              <w:ind w:firstLine="198" w:firstLineChars="6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w:t>
            </w:r>
          </w:p>
        </w:tc>
        <w:tc>
          <w:tcPr>
            <w:tcW w:w="1942" w:type="dxa"/>
            <w:tcBorders>
              <w:top w:val="nil"/>
              <w:left w:val="nil"/>
              <w:bottom w:val="single" w:color="auto" w:sz="4" w:space="0"/>
              <w:right w:val="single" w:color="auto" w:sz="4" w:space="0"/>
            </w:tcBorders>
            <w:vAlign w:val="center"/>
          </w:tcPr>
          <w:p w14:paraId="7858F390">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最高限价</w:t>
            </w:r>
          </w:p>
        </w:tc>
        <w:tc>
          <w:tcPr>
            <w:tcW w:w="5592" w:type="dxa"/>
            <w:tcBorders>
              <w:top w:val="nil"/>
              <w:left w:val="nil"/>
              <w:bottom w:val="single" w:color="auto" w:sz="4" w:space="0"/>
              <w:right w:val="single" w:color="auto" w:sz="4" w:space="0"/>
            </w:tcBorders>
            <w:vAlign w:val="center"/>
          </w:tcPr>
          <w:p w14:paraId="01D57690">
            <w:pPr>
              <w:widowControl/>
              <w:ind w:firstLine="0" w:firstLineChars="0"/>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auto"/>
                <w:kern w:val="0"/>
                <w:sz w:val="32"/>
                <w:szCs w:val="32"/>
              </w:rPr>
              <w:t>服务费（含税总价）不高于</w:t>
            </w:r>
            <w:r>
              <w:rPr>
                <w:rFonts w:hint="default"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万元;</w:t>
            </w:r>
            <w:r>
              <w:rPr>
                <w:rFonts w:hint="default" w:ascii="Times New Roman" w:hAnsi="Times New Roman" w:eastAsia="方正仿宋_GBK" w:cs="Times New Roman"/>
                <w:color w:val="000000"/>
                <w:kern w:val="0"/>
                <w:sz w:val="32"/>
                <w:szCs w:val="32"/>
              </w:rPr>
              <w:t>超过最高限价及竞争性谈判要求的报价无效</w:t>
            </w:r>
            <w:r>
              <w:rPr>
                <w:rFonts w:hint="default" w:ascii="Times New Roman" w:hAnsi="Times New Roman" w:eastAsia="方正仿宋_GBK" w:cs="Times New Roman"/>
                <w:color w:val="000000"/>
                <w:kern w:val="0"/>
                <w:sz w:val="32"/>
                <w:szCs w:val="32"/>
                <w:lang w:eastAsia="zh-CN"/>
              </w:rPr>
              <w:t>。</w:t>
            </w:r>
          </w:p>
        </w:tc>
      </w:tr>
      <w:tr w14:paraId="381B591C">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14:paraId="025B5E9D">
            <w:pPr>
              <w:widowControl/>
              <w:ind w:firstLine="198" w:firstLineChars="6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w:t>
            </w:r>
          </w:p>
        </w:tc>
        <w:tc>
          <w:tcPr>
            <w:tcW w:w="1942" w:type="dxa"/>
            <w:tcBorders>
              <w:top w:val="nil"/>
              <w:left w:val="nil"/>
              <w:bottom w:val="single" w:color="auto" w:sz="4" w:space="0"/>
              <w:right w:val="single" w:color="auto" w:sz="4" w:space="0"/>
            </w:tcBorders>
            <w:vAlign w:val="center"/>
          </w:tcPr>
          <w:p w14:paraId="29A08EC4">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联合体</w:t>
            </w:r>
          </w:p>
        </w:tc>
        <w:tc>
          <w:tcPr>
            <w:tcW w:w="5592" w:type="dxa"/>
            <w:tcBorders>
              <w:top w:val="nil"/>
              <w:left w:val="nil"/>
              <w:bottom w:val="single" w:color="auto" w:sz="4" w:space="0"/>
              <w:right w:val="single" w:color="auto" w:sz="4" w:space="0"/>
            </w:tcBorders>
            <w:vAlign w:val="center"/>
          </w:tcPr>
          <w:p w14:paraId="4ACCD807">
            <w:pPr>
              <w:widowControl/>
              <w:ind w:firstLine="0"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不允许</w:t>
            </w:r>
          </w:p>
        </w:tc>
      </w:tr>
      <w:tr w14:paraId="013F1B08">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14:paraId="49F79675">
            <w:pPr>
              <w:widowControl/>
              <w:ind w:firstLine="198" w:firstLineChars="6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w:t>
            </w:r>
          </w:p>
        </w:tc>
        <w:tc>
          <w:tcPr>
            <w:tcW w:w="1942" w:type="dxa"/>
            <w:tcBorders>
              <w:top w:val="nil"/>
              <w:left w:val="nil"/>
              <w:bottom w:val="single" w:color="auto" w:sz="4" w:space="0"/>
              <w:right w:val="single" w:color="auto" w:sz="4" w:space="0"/>
            </w:tcBorders>
            <w:vAlign w:val="center"/>
          </w:tcPr>
          <w:p w14:paraId="563D8C54">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履约保证金</w:t>
            </w:r>
          </w:p>
        </w:tc>
        <w:tc>
          <w:tcPr>
            <w:tcW w:w="5592" w:type="dxa"/>
            <w:tcBorders>
              <w:top w:val="nil"/>
              <w:left w:val="nil"/>
              <w:bottom w:val="single" w:color="auto" w:sz="4" w:space="0"/>
              <w:right w:val="single" w:color="auto" w:sz="4" w:space="0"/>
            </w:tcBorders>
            <w:vAlign w:val="center"/>
          </w:tcPr>
          <w:p w14:paraId="0CA79C59">
            <w:pPr>
              <w:widowControl/>
              <w:ind w:firstLine="0"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无</w:t>
            </w:r>
          </w:p>
        </w:tc>
      </w:tr>
      <w:tr w14:paraId="5283D3C8">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14:paraId="3AA4F81F">
            <w:pPr>
              <w:widowControl/>
              <w:ind w:firstLine="198" w:firstLineChars="62"/>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w:t>
            </w:r>
          </w:p>
        </w:tc>
        <w:tc>
          <w:tcPr>
            <w:tcW w:w="1942" w:type="dxa"/>
            <w:tcBorders>
              <w:top w:val="nil"/>
              <w:left w:val="nil"/>
              <w:bottom w:val="single" w:color="auto" w:sz="4" w:space="0"/>
              <w:right w:val="single" w:color="auto" w:sz="4" w:space="0"/>
            </w:tcBorders>
            <w:vAlign w:val="center"/>
          </w:tcPr>
          <w:p w14:paraId="538BAC13">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谈判申报文件份数</w:t>
            </w:r>
          </w:p>
        </w:tc>
        <w:tc>
          <w:tcPr>
            <w:tcW w:w="5592" w:type="dxa"/>
            <w:tcBorders>
              <w:top w:val="nil"/>
              <w:left w:val="nil"/>
              <w:bottom w:val="single" w:color="auto" w:sz="4" w:space="0"/>
              <w:right w:val="single" w:color="auto" w:sz="4" w:space="0"/>
            </w:tcBorders>
            <w:vAlign w:val="center"/>
          </w:tcPr>
          <w:p w14:paraId="2AFA3709">
            <w:pPr>
              <w:widowControl/>
              <w:ind w:firstLine="0" w:firstLineChars="0"/>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正本一份</w:t>
            </w:r>
          </w:p>
        </w:tc>
      </w:tr>
      <w:tr w14:paraId="584BF75F">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14:paraId="7E479498">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w:t>
            </w:r>
          </w:p>
        </w:tc>
        <w:tc>
          <w:tcPr>
            <w:tcW w:w="1942" w:type="dxa"/>
            <w:tcBorders>
              <w:top w:val="nil"/>
              <w:left w:val="nil"/>
              <w:bottom w:val="single" w:color="auto" w:sz="4" w:space="0"/>
              <w:right w:val="single" w:color="auto" w:sz="4" w:space="0"/>
            </w:tcBorders>
            <w:vAlign w:val="center"/>
          </w:tcPr>
          <w:p w14:paraId="7B20E642">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响应文件</w:t>
            </w:r>
          </w:p>
          <w:p w14:paraId="36C339AE">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递交时间</w:t>
            </w:r>
          </w:p>
        </w:tc>
        <w:tc>
          <w:tcPr>
            <w:tcW w:w="5592" w:type="dxa"/>
            <w:tcBorders>
              <w:top w:val="nil"/>
              <w:left w:val="nil"/>
              <w:bottom w:val="single" w:color="auto" w:sz="4" w:space="0"/>
              <w:right w:val="single" w:color="auto" w:sz="4" w:space="0"/>
            </w:tcBorders>
            <w:vAlign w:val="center"/>
          </w:tcPr>
          <w:p w14:paraId="0C81B6C8">
            <w:pPr>
              <w:widowControl/>
              <w:ind w:firstLine="0"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谈判当日</w:t>
            </w:r>
          </w:p>
        </w:tc>
      </w:tr>
      <w:tr w14:paraId="5E696EEB">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14:paraId="5C507F76">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w:t>
            </w:r>
          </w:p>
        </w:tc>
        <w:tc>
          <w:tcPr>
            <w:tcW w:w="1942" w:type="dxa"/>
            <w:tcBorders>
              <w:top w:val="nil"/>
              <w:left w:val="nil"/>
              <w:bottom w:val="single" w:color="auto" w:sz="4" w:space="0"/>
              <w:right w:val="single" w:color="auto" w:sz="4" w:space="0"/>
            </w:tcBorders>
            <w:vAlign w:val="center"/>
          </w:tcPr>
          <w:p w14:paraId="59A4C328">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谈判时间</w:t>
            </w:r>
          </w:p>
        </w:tc>
        <w:tc>
          <w:tcPr>
            <w:tcW w:w="5592" w:type="dxa"/>
            <w:tcBorders>
              <w:top w:val="nil"/>
              <w:left w:val="nil"/>
              <w:bottom w:val="single" w:color="auto" w:sz="4" w:space="0"/>
              <w:right w:val="single" w:color="auto" w:sz="4" w:space="0"/>
            </w:tcBorders>
            <w:vAlign w:val="center"/>
          </w:tcPr>
          <w:p w14:paraId="140AD217">
            <w:pPr>
              <w:widowControl/>
              <w:ind w:firstLine="0" w:firstLineChars="0"/>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8</w:t>
            </w:r>
            <w:bookmarkStart w:id="76" w:name="_GoBack"/>
            <w:bookmarkEnd w:id="76"/>
            <w:r>
              <w:rPr>
                <w:rFonts w:hint="default" w:ascii="Times New Roman" w:hAnsi="Times New Roman" w:eastAsia="方正仿宋_GBK" w:cs="Times New Roman"/>
                <w:color w:val="000000"/>
                <w:kern w:val="0"/>
                <w:sz w:val="32"/>
                <w:szCs w:val="32"/>
              </w:rPr>
              <w:t>日</w:t>
            </w:r>
            <w:r>
              <w:rPr>
                <w:rFonts w:hint="default" w:ascii="Times New Roman" w:hAnsi="Times New Roman" w:eastAsia="方正仿宋_GBK" w:cs="Times New Roman"/>
                <w:color w:val="000000"/>
                <w:kern w:val="0"/>
                <w:sz w:val="32"/>
                <w:szCs w:val="32"/>
                <w:lang w:val="en-US" w:eastAsia="zh-CN"/>
              </w:rPr>
              <w:t>10:00</w:t>
            </w:r>
          </w:p>
        </w:tc>
      </w:tr>
      <w:tr w14:paraId="1573F66D">
        <w:tblPrEx>
          <w:tblCellMar>
            <w:top w:w="0" w:type="dxa"/>
            <w:left w:w="108" w:type="dxa"/>
            <w:bottom w:w="0" w:type="dxa"/>
            <w:right w:w="108" w:type="dxa"/>
          </w:tblCellMar>
        </w:tblPrEx>
        <w:trPr>
          <w:trHeight w:val="405" w:hRule="atLeast"/>
        </w:trPr>
        <w:tc>
          <w:tcPr>
            <w:tcW w:w="880" w:type="dxa"/>
            <w:tcBorders>
              <w:top w:val="nil"/>
              <w:left w:val="single" w:color="auto" w:sz="4" w:space="0"/>
              <w:bottom w:val="single" w:color="auto" w:sz="4" w:space="0"/>
              <w:right w:val="single" w:color="auto" w:sz="4" w:space="0"/>
            </w:tcBorders>
            <w:vAlign w:val="center"/>
          </w:tcPr>
          <w:p w14:paraId="366301C4">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w:t>
            </w:r>
          </w:p>
        </w:tc>
        <w:tc>
          <w:tcPr>
            <w:tcW w:w="1942" w:type="dxa"/>
            <w:tcBorders>
              <w:top w:val="nil"/>
              <w:left w:val="nil"/>
              <w:bottom w:val="single" w:color="auto" w:sz="4" w:space="0"/>
              <w:right w:val="single" w:color="auto" w:sz="4" w:space="0"/>
            </w:tcBorders>
            <w:vAlign w:val="center"/>
          </w:tcPr>
          <w:p w14:paraId="15FD6B2C">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谈判地点</w:t>
            </w:r>
          </w:p>
        </w:tc>
        <w:tc>
          <w:tcPr>
            <w:tcW w:w="5592" w:type="dxa"/>
            <w:tcBorders>
              <w:top w:val="nil"/>
              <w:left w:val="nil"/>
              <w:bottom w:val="single" w:color="auto" w:sz="4" w:space="0"/>
              <w:right w:val="single" w:color="auto" w:sz="4" w:space="0"/>
            </w:tcBorders>
            <w:vAlign w:val="center"/>
          </w:tcPr>
          <w:p w14:paraId="3BD5EDCC">
            <w:pPr>
              <w:widowControl/>
              <w:ind w:firstLine="0" w:firstLineChars="0"/>
              <w:rPr>
                <w:rFonts w:hint="default" w:ascii="Times New Roman" w:hAnsi="Times New Roman" w:eastAsia="方正仿宋_GBK" w:cs="Times New Roman"/>
                <w:color w:val="000000"/>
                <w:kern w:val="0"/>
                <w:sz w:val="32"/>
                <w:szCs w:val="32"/>
                <w:highlight w:val="yellow"/>
              </w:rPr>
            </w:pPr>
            <w:r>
              <w:rPr>
                <w:rFonts w:hint="default" w:ascii="Times New Roman" w:hAnsi="Times New Roman" w:eastAsia="方正仿宋_GBK" w:cs="Times New Roman"/>
                <w:color w:val="000000"/>
                <w:kern w:val="0"/>
                <w:sz w:val="32"/>
                <w:szCs w:val="32"/>
                <w:lang w:val="en-US" w:eastAsia="zh-CN"/>
              </w:rPr>
              <w:t>钢城经贸</w:t>
            </w:r>
            <w:r>
              <w:rPr>
                <w:rFonts w:hint="default" w:ascii="Times New Roman" w:hAnsi="Times New Roman" w:eastAsia="方正仿宋_GBK" w:cs="Times New Roman"/>
                <w:color w:val="000000"/>
                <w:kern w:val="0"/>
                <w:sz w:val="32"/>
                <w:szCs w:val="32"/>
              </w:rPr>
              <w:t>大厦</w:t>
            </w:r>
            <w:r>
              <w:rPr>
                <w:rFonts w:hint="default" w:ascii="Times New Roman" w:hAnsi="Times New Roman" w:eastAsia="方正仿宋_GBK" w:cs="Times New Roman"/>
                <w:color w:val="000000"/>
                <w:kern w:val="0"/>
                <w:sz w:val="32"/>
                <w:szCs w:val="32"/>
                <w:lang w:val="en-US" w:eastAsia="zh-CN"/>
              </w:rPr>
              <w:t>B座</w:t>
            </w:r>
            <w:r>
              <w:rPr>
                <w:rFonts w:hint="default" w:ascii="Times New Roman" w:hAnsi="Times New Roman" w:eastAsia="方正仿宋_GBK" w:cs="Times New Roman"/>
                <w:color w:val="000000"/>
                <w:kern w:val="0"/>
                <w:sz w:val="32"/>
                <w:szCs w:val="32"/>
              </w:rPr>
              <w:t>51</w:t>
            </w:r>
            <w:r>
              <w:rPr>
                <w:rFonts w:hint="default" w:ascii="Times New Roman" w:hAnsi="Times New Roman" w:eastAsia="方正仿宋_GBK"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rPr>
              <w:t>会议室</w:t>
            </w:r>
          </w:p>
        </w:tc>
      </w:tr>
      <w:tr w14:paraId="52D4C3F5">
        <w:tblPrEx>
          <w:tblCellMar>
            <w:top w:w="0" w:type="dxa"/>
            <w:left w:w="108" w:type="dxa"/>
            <w:bottom w:w="0" w:type="dxa"/>
            <w:right w:w="108" w:type="dxa"/>
          </w:tblCellMar>
        </w:tblPrEx>
        <w:trPr>
          <w:trHeight w:val="1730" w:hRule="atLeast"/>
        </w:trPr>
        <w:tc>
          <w:tcPr>
            <w:tcW w:w="880" w:type="dxa"/>
            <w:tcBorders>
              <w:top w:val="single" w:color="auto" w:sz="4" w:space="0"/>
              <w:left w:val="single" w:color="auto" w:sz="4" w:space="0"/>
              <w:bottom w:val="single" w:color="auto" w:sz="4" w:space="0"/>
              <w:right w:val="single" w:color="auto" w:sz="4" w:space="0"/>
            </w:tcBorders>
            <w:vAlign w:val="center"/>
          </w:tcPr>
          <w:p w14:paraId="55588258">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w:t>
            </w:r>
          </w:p>
        </w:tc>
        <w:tc>
          <w:tcPr>
            <w:tcW w:w="1942" w:type="dxa"/>
            <w:tcBorders>
              <w:top w:val="single" w:color="auto" w:sz="4" w:space="0"/>
              <w:left w:val="single" w:color="auto" w:sz="4" w:space="0"/>
              <w:bottom w:val="single" w:color="auto" w:sz="4" w:space="0"/>
              <w:right w:val="single" w:color="auto" w:sz="4" w:space="0"/>
            </w:tcBorders>
            <w:vAlign w:val="center"/>
          </w:tcPr>
          <w:p w14:paraId="20C80DAA">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谈判程序</w:t>
            </w:r>
          </w:p>
        </w:tc>
        <w:tc>
          <w:tcPr>
            <w:tcW w:w="5592" w:type="dxa"/>
            <w:tcBorders>
              <w:top w:val="single" w:color="auto" w:sz="4" w:space="0"/>
              <w:left w:val="single" w:color="auto" w:sz="4" w:space="0"/>
              <w:bottom w:val="single" w:color="auto" w:sz="4" w:space="0"/>
              <w:right w:val="single" w:color="auto" w:sz="4" w:space="0"/>
            </w:tcBorders>
            <w:vAlign w:val="center"/>
          </w:tcPr>
          <w:p w14:paraId="705EAFD5">
            <w:pPr>
              <w:widowControl/>
              <w:ind w:firstLine="0" w:firstLineChars="0"/>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1.响应文件接受截止后，采购人对供应商提供的资格证明材料进行审查</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2.通过资格审查的供应商进入下一轮综合评比谈判</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但如通过资格审查的供应商不足2家，本次竞争性谈判采购活动终止；</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3.采购人与供应商针对技术、报价组成和合同条款等进行充分的谈判，确定供应商所提供的产品质量和服务是否能满足采购文件规定的实质性要求；</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4.谈判结束后，采购人按</w:t>
            </w:r>
            <w:r>
              <w:rPr>
                <w:rFonts w:hint="default" w:ascii="Times New Roman" w:hAnsi="Times New Roman" w:eastAsia="方正仿宋_GBK" w:cs="Times New Roman"/>
                <w:color w:val="000000"/>
                <w:kern w:val="0"/>
                <w:sz w:val="32"/>
                <w:szCs w:val="32"/>
                <w:lang w:val="en-US" w:eastAsia="zh-CN"/>
              </w:rPr>
              <w:t>最低价中标法</w:t>
            </w:r>
            <w:r>
              <w:rPr>
                <w:rFonts w:hint="default" w:ascii="Times New Roman" w:hAnsi="Times New Roman" w:eastAsia="方正仿宋_GBK" w:cs="Times New Roman"/>
                <w:color w:val="000000"/>
                <w:kern w:val="0"/>
                <w:sz w:val="32"/>
                <w:szCs w:val="32"/>
              </w:rPr>
              <w:t>确定中标候选人；</w:t>
            </w:r>
            <w:r>
              <w:rPr>
                <w:rFonts w:hint="default" w:ascii="Times New Roman" w:hAnsi="Times New Roman" w:eastAsia="方正仿宋_GBK" w:cs="Times New Roman"/>
                <w:color w:val="000000"/>
                <w:kern w:val="0"/>
                <w:sz w:val="32"/>
                <w:szCs w:val="32"/>
              </w:rPr>
              <w:br w:type="textWrapping"/>
            </w:r>
            <w:r>
              <w:rPr>
                <w:rFonts w:hint="default" w:ascii="Times New Roman" w:hAnsi="Times New Roman" w:eastAsia="方正仿宋_GBK" w:cs="Times New Roman"/>
                <w:color w:val="000000"/>
                <w:kern w:val="0"/>
                <w:sz w:val="32"/>
                <w:szCs w:val="32"/>
              </w:rPr>
              <w:t>5.报送审核谈判结果，确定中标人</w:t>
            </w:r>
            <w:r>
              <w:rPr>
                <w:rFonts w:hint="default" w:ascii="Times New Roman" w:hAnsi="Times New Roman" w:eastAsia="方正仿宋_GBK" w:cs="Times New Roman"/>
                <w:color w:val="000000"/>
                <w:kern w:val="0"/>
                <w:sz w:val="32"/>
                <w:szCs w:val="32"/>
                <w:lang w:eastAsia="zh-CN"/>
              </w:rPr>
              <w:t>。</w:t>
            </w:r>
          </w:p>
        </w:tc>
      </w:tr>
      <w:tr w14:paraId="6FE19D39">
        <w:tblPrEx>
          <w:tblCellMar>
            <w:top w:w="0" w:type="dxa"/>
            <w:left w:w="108" w:type="dxa"/>
            <w:bottom w:w="0" w:type="dxa"/>
            <w:right w:w="108" w:type="dxa"/>
          </w:tblCellMar>
        </w:tblPrEx>
        <w:trPr>
          <w:trHeight w:val="900" w:hRule="atLeast"/>
        </w:trPr>
        <w:tc>
          <w:tcPr>
            <w:tcW w:w="880" w:type="dxa"/>
            <w:tcBorders>
              <w:top w:val="single" w:color="auto" w:sz="4" w:space="0"/>
              <w:left w:val="single" w:color="auto" w:sz="4" w:space="0"/>
              <w:bottom w:val="single" w:color="auto" w:sz="4" w:space="0"/>
              <w:right w:val="single" w:color="auto" w:sz="4" w:space="0"/>
            </w:tcBorders>
            <w:vAlign w:val="center"/>
          </w:tcPr>
          <w:p w14:paraId="41A300D1">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w:t>
            </w:r>
          </w:p>
        </w:tc>
        <w:tc>
          <w:tcPr>
            <w:tcW w:w="1942" w:type="dxa"/>
            <w:tcBorders>
              <w:top w:val="single" w:color="auto" w:sz="4" w:space="0"/>
              <w:left w:val="nil"/>
              <w:bottom w:val="single" w:color="auto" w:sz="4" w:space="0"/>
              <w:right w:val="single" w:color="auto" w:sz="4" w:space="0"/>
            </w:tcBorders>
            <w:vAlign w:val="center"/>
          </w:tcPr>
          <w:p w14:paraId="4D6F1D93">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成交通知书</w:t>
            </w:r>
          </w:p>
        </w:tc>
        <w:tc>
          <w:tcPr>
            <w:tcW w:w="5592" w:type="dxa"/>
            <w:tcBorders>
              <w:top w:val="single" w:color="auto" w:sz="4" w:space="0"/>
              <w:left w:val="nil"/>
              <w:bottom w:val="single" w:color="auto" w:sz="4" w:space="0"/>
              <w:right w:val="single" w:color="auto" w:sz="4" w:space="0"/>
            </w:tcBorders>
            <w:vAlign w:val="center"/>
          </w:tcPr>
          <w:p w14:paraId="7724F3BE">
            <w:pPr>
              <w:widowControl/>
              <w:ind w:firstLine="0" w:firstLine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rPr>
              <w:t>中标结果确定后，采购人向中标人发出《成交通知书》（或直接签订合同）</w:t>
            </w:r>
            <w:r>
              <w:rPr>
                <w:rFonts w:hint="default" w:ascii="Times New Roman" w:hAnsi="Times New Roman" w:eastAsia="方正仿宋_GBK" w:cs="Times New Roman"/>
                <w:color w:val="000000"/>
                <w:kern w:val="0"/>
                <w:sz w:val="32"/>
                <w:szCs w:val="32"/>
                <w:lang w:eastAsia="zh-CN"/>
              </w:rPr>
              <w:t>。</w:t>
            </w:r>
          </w:p>
        </w:tc>
      </w:tr>
      <w:tr w14:paraId="579CBE48">
        <w:tblPrEx>
          <w:tblCellMar>
            <w:top w:w="0" w:type="dxa"/>
            <w:left w:w="108" w:type="dxa"/>
            <w:bottom w:w="0" w:type="dxa"/>
            <w:right w:w="108" w:type="dxa"/>
          </w:tblCellMar>
        </w:tblPrEx>
        <w:trPr>
          <w:trHeight w:val="900" w:hRule="atLeast"/>
        </w:trPr>
        <w:tc>
          <w:tcPr>
            <w:tcW w:w="880" w:type="dxa"/>
            <w:tcBorders>
              <w:top w:val="single" w:color="auto" w:sz="4" w:space="0"/>
              <w:left w:val="single" w:color="auto" w:sz="4" w:space="0"/>
              <w:bottom w:val="single" w:color="auto" w:sz="4" w:space="0"/>
              <w:right w:val="single" w:color="auto" w:sz="4" w:space="0"/>
            </w:tcBorders>
            <w:vAlign w:val="center"/>
          </w:tcPr>
          <w:p w14:paraId="1875CEB5">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w:t>
            </w:r>
          </w:p>
        </w:tc>
        <w:tc>
          <w:tcPr>
            <w:tcW w:w="1942" w:type="dxa"/>
            <w:tcBorders>
              <w:top w:val="single" w:color="auto" w:sz="4" w:space="0"/>
              <w:left w:val="nil"/>
              <w:bottom w:val="single" w:color="auto" w:sz="4" w:space="0"/>
              <w:right w:val="single" w:color="auto" w:sz="4" w:space="0"/>
            </w:tcBorders>
            <w:vAlign w:val="center"/>
          </w:tcPr>
          <w:p w14:paraId="21D71E6B">
            <w:pPr>
              <w:widowControl/>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服务期限</w:t>
            </w:r>
          </w:p>
        </w:tc>
        <w:tc>
          <w:tcPr>
            <w:tcW w:w="5592" w:type="dxa"/>
            <w:tcBorders>
              <w:top w:val="single" w:color="auto" w:sz="4" w:space="0"/>
              <w:left w:val="nil"/>
              <w:bottom w:val="single" w:color="auto" w:sz="4" w:space="0"/>
              <w:right w:val="single" w:color="auto" w:sz="4" w:space="0"/>
            </w:tcBorders>
            <w:vAlign w:val="center"/>
          </w:tcPr>
          <w:p w14:paraId="0073CEA3">
            <w:pPr>
              <w:widowControl/>
              <w:ind w:firstLine="0" w:firstLineChars="0"/>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根据采购人与中标人最终签订的服务采购合同确定服务期限</w:t>
            </w:r>
            <w:r>
              <w:rPr>
                <w:rFonts w:hint="default" w:ascii="Times New Roman" w:hAnsi="Times New Roman" w:eastAsia="方正仿宋_GBK" w:cs="Times New Roman"/>
                <w:color w:val="000000"/>
                <w:kern w:val="0"/>
                <w:sz w:val="32"/>
                <w:szCs w:val="32"/>
                <w:lang w:eastAsia="zh-CN"/>
              </w:rPr>
              <w:t>。</w:t>
            </w:r>
          </w:p>
        </w:tc>
      </w:tr>
    </w:tbl>
    <w:p w14:paraId="028B9315">
      <w:pPr>
        <w:ind w:firstLine="640"/>
        <w:outlineLvl w:val="1"/>
        <w:rPr>
          <w:rFonts w:hint="eastAsia" w:ascii="方正黑体_GBK" w:hAnsi="方正黑体_GBK" w:eastAsia="方正黑体_GBK" w:cs="方正黑体_GBK"/>
          <w:b/>
          <w:kern w:val="44"/>
          <w:lang w:val="zh-CN"/>
        </w:rPr>
      </w:pPr>
      <w:bookmarkStart w:id="11" w:name="_Toc35689684"/>
      <w:bookmarkStart w:id="12" w:name="_Toc35683736"/>
      <w:bookmarkStart w:id="13" w:name="_Toc35681775"/>
      <w:r>
        <w:rPr>
          <w:rFonts w:hint="eastAsia" w:ascii="方正黑体_GBK" w:hAnsi="方正黑体_GBK" w:eastAsia="方正黑体_GBK" w:cs="方正黑体_GBK"/>
          <w:bCs/>
          <w:kern w:val="44"/>
        </w:rPr>
        <w:t>二、</w:t>
      </w:r>
      <w:r>
        <w:rPr>
          <w:rFonts w:hint="eastAsia" w:ascii="方正黑体_GBK" w:hAnsi="方正黑体_GBK" w:eastAsia="方正黑体_GBK" w:cs="方正黑体_GBK"/>
          <w:b/>
          <w:kern w:val="44"/>
          <w:lang w:val="zh-CN"/>
        </w:rPr>
        <w:t>总  则</w:t>
      </w:r>
      <w:bookmarkEnd w:id="11"/>
      <w:bookmarkEnd w:id="12"/>
      <w:bookmarkEnd w:id="13"/>
    </w:p>
    <w:p w14:paraId="473AC5B7">
      <w:pPr>
        <w:pStyle w:val="6"/>
        <w:keepNext w:val="0"/>
        <w:keepLines w:val="0"/>
        <w:spacing w:before="0" w:after="0" w:line="560" w:lineRule="exact"/>
        <w:ind w:firstLine="640"/>
        <w:rPr>
          <w:rFonts w:hint="eastAsia" w:ascii="方正楷体_GBK" w:hAnsi="方正楷体_GBK" w:eastAsia="方正楷体_GBK" w:cs="方正楷体_GBK"/>
          <w:color w:val="000000"/>
        </w:rPr>
      </w:pPr>
      <w:bookmarkStart w:id="14" w:name="_Toc35683737"/>
      <w:bookmarkStart w:id="15" w:name="_Toc35681776"/>
      <w:bookmarkStart w:id="16" w:name="_Toc35689685"/>
      <w:r>
        <w:rPr>
          <w:rFonts w:hint="eastAsia" w:ascii="方正楷体_GBK" w:hAnsi="方正楷体_GBK" w:eastAsia="方正楷体_GBK" w:cs="方正楷体_GBK"/>
          <w:color w:val="000000"/>
        </w:rPr>
        <w:t>1.适用范围</w:t>
      </w:r>
      <w:bookmarkEnd w:id="14"/>
      <w:bookmarkEnd w:id="15"/>
      <w:bookmarkEnd w:id="16"/>
    </w:p>
    <w:p w14:paraId="0E8FE07B">
      <w:pPr>
        <w:tabs>
          <w:tab w:val="left" w:pos="7665"/>
        </w:tabs>
        <w:ind w:firstLine="640"/>
        <w:rPr>
          <w:rFonts w:hint="default" w:ascii="Times New Roman" w:hAnsi="Times New Roman" w:eastAsia="方正仿宋_GBK" w:cs="Times New Roman"/>
          <w:lang w:eastAsia="zh-CN"/>
        </w:rPr>
      </w:pPr>
      <w:r>
        <w:rPr>
          <w:rFonts w:hint="default" w:ascii="Times New Roman" w:hAnsi="Times New Roman" w:eastAsia="方正仿宋_GBK" w:cs="Times New Roman"/>
          <w:color w:val="000000"/>
        </w:rPr>
        <w:t>1.1 本谈判文件仅适用于本次谈</w:t>
      </w:r>
      <w:r>
        <w:rPr>
          <w:rFonts w:hint="default" w:ascii="Times New Roman" w:hAnsi="Times New Roman" w:eastAsia="方正仿宋_GBK" w:cs="Times New Roman"/>
        </w:rPr>
        <w:t>判所叙述的法律诉讼、执行服务采购</w:t>
      </w:r>
      <w:r>
        <w:rPr>
          <w:rFonts w:hint="default" w:ascii="Times New Roman" w:hAnsi="Times New Roman" w:eastAsia="方正仿宋_GBK" w:cs="Times New Roman"/>
          <w:lang w:eastAsia="zh-CN"/>
        </w:rPr>
        <w:t>。</w:t>
      </w:r>
    </w:p>
    <w:p w14:paraId="2A80CE8C">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1.2 本谈判文件的解释权</w:t>
      </w:r>
      <w:r>
        <w:rPr>
          <w:rFonts w:hint="default" w:ascii="Times New Roman" w:hAnsi="Times New Roman" w:eastAsia="方正仿宋_GBK" w:cs="Times New Roman"/>
        </w:rPr>
        <w:t>归采购人所有</w:t>
      </w:r>
      <w:r>
        <w:rPr>
          <w:rFonts w:hint="default" w:ascii="Times New Roman" w:hAnsi="Times New Roman" w:eastAsia="方正仿宋_GBK" w:cs="Times New Roman"/>
          <w:color w:val="000000"/>
          <w:lang w:eastAsia="zh-CN"/>
        </w:rPr>
        <w:t>。</w:t>
      </w:r>
    </w:p>
    <w:p w14:paraId="5C14D14F">
      <w:pPr>
        <w:pStyle w:val="6"/>
        <w:keepNext w:val="0"/>
        <w:keepLines w:val="0"/>
        <w:spacing w:before="0" w:after="0" w:line="560" w:lineRule="exact"/>
        <w:ind w:firstLine="640"/>
        <w:rPr>
          <w:rFonts w:hint="eastAsia" w:ascii="方正楷体_GBK" w:hAnsi="方正楷体_GBK" w:eastAsia="方正楷体_GBK" w:cs="方正楷体_GBK"/>
          <w:color w:val="000000"/>
        </w:rPr>
      </w:pPr>
      <w:bookmarkStart w:id="17" w:name="_Toc217446035"/>
      <w:bookmarkStart w:id="18" w:name="_Toc183582206"/>
      <w:bookmarkStart w:id="19" w:name="_Toc183682343"/>
      <w:bookmarkStart w:id="20" w:name="_Toc35681777"/>
      <w:bookmarkStart w:id="21" w:name="_Toc35683738"/>
      <w:bookmarkStart w:id="22" w:name="_Toc35689686"/>
      <w:r>
        <w:rPr>
          <w:rFonts w:hint="eastAsia" w:ascii="方正楷体_GBK" w:hAnsi="方正楷体_GBK" w:eastAsia="方正楷体_GBK" w:cs="方正楷体_GBK"/>
          <w:color w:val="000000"/>
        </w:rPr>
        <w:t>2.</w:t>
      </w:r>
      <w:bookmarkEnd w:id="17"/>
      <w:bookmarkEnd w:id="18"/>
      <w:bookmarkEnd w:id="19"/>
      <w:r>
        <w:rPr>
          <w:rFonts w:hint="eastAsia" w:ascii="方正楷体_GBK" w:hAnsi="方正楷体_GBK" w:eastAsia="方正楷体_GBK" w:cs="方正楷体_GBK"/>
          <w:color w:val="000000"/>
        </w:rPr>
        <w:t>采购主体</w:t>
      </w:r>
      <w:bookmarkEnd w:id="20"/>
      <w:bookmarkEnd w:id="21"/>
      <w:bookmarkEnd w:id="22"/>
    </w:p>
    <w:p w14:paraId="31270334">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本次谈判的采购人是</w:t>
      </w:r>
      <w:r>
        <w:rPr>
          <w:rFonts w:hint="default" w:ascii="Times New Roman" w:hAnsi="Times New Roman" w:eastAsia="方正仿宋_GBK" w:cs="Times New Roman"/>
          <w:color w:val="000000"/>
          <w:lang w:eastAsia="zh-CN"/>
        </w:rPr>
        <w:t>攀枝花市金源创业投资有限公司。</w:t>
      </w:r>
    </w:p>
    <w:p w14:paraId="5E06377B">
      <w:pPr>
        <w:pStyle w:val="6"/>
        <w:keepNext w:val="0"/>
        <w:keepLines w:val="0"/>
        <w:spacing w:before="0" w:after="0" w:line="560" w:lineRule="exact"/>
        <w:ind w:firstLine="640"/>
        <w:rPr>
          <w:rFonts w:hint="eastAsia" w:ascii="方正楷体_GBK" w:hAnsi="方正楷体_GBK" w:eastAsia="方正楷体_GBK" w:cs="方正楷体_GBK"/>
          <w:color w:val="000000"/>
        </w:rPr>
      </w:pPr>
      <w:bookmarkStart w:id="23" w:name="_Toc217446036"/>
      <w:bookmarkStart w:id="24" w:name="_Toc183682344"/>
      <w:bookmarkStart w:id="25" w:name="_Toc217390843"/>
      <w:bookmarkStart w:id="26" w:name="_Toc183582207"/>
      <w:bookmarkStart w:id="27" w:name="_Toc35681778"/>
      <w:bookmarkStart w:id="28" w:name="_Toc35689687"/>
      <w:bookmarkStart w:id="29" w:name="_Toc35683739"/>
      <w:r>
        <w:rPr>
          <w:rFonts w:hint="eastAsia" w:ascii="方正楷体_GBK" w:hAnsi="方正楷体_GBK" w:eastAsia="方正楷体_GBK" w:cs="方正楷体_GBK"/>
          <w:color w:val="000000"/>
        </w:rPr>
        <w:t>3. 合格</w:t>
      </w:r>
      <w:bookmarkEnd w:id="23"/>
      <w:bookmarkEnd w:id="24"/>
      <w:bookmarkEnd w:id="25"/>
      <w:bookmarkEnd w:id="26"/>
      <w:r>
        <w:rPr>
          <w:rFonts w:hint="eastAsia" w:ascii="方正楷体_GBK" w:hAnsi="方正楷体_GBK" w:eastAsia="方正楷体_GBK" w:cs="方正楷体_GBK"/>
          <w:color w:val="000000"/>
        </w:rPr>
        <w:t>供应商（实质性要求）</w:t>
      </w:r>
      <w:bookmarkEnd w:id="27"/>
      <w:bookmarkEnd w:id="28"/>
      <w:bookmarkEnd w:id="29"/>
    </w:p>
    <w:p w14:paraId="3C0392E4">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合格供应商应具备以下条件：</w:t>
      </w:r>
    </w:p>
    <w:p w14:paraId="21B56AE8">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3.1 具备法律法规、本采购文件规定的资格条件；</w:t>
      </w:r>
    </w:p>
    <w:p w14:paraId="35834944">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3.2 不属于禁止参加本项目采购活动的供应商；</w:t>
      </w:r>
    </w:p>
    <w:p w14:paraId="1CD06862">
      <w:pPr>
        <w:tabs>
          <w:tab w:val="left" w:pos="7665"/>
        </w:tabs>
        <w:ind w:firstLine="640"/>
        <w:rPr>
          <w:rFonts w:hint="default" w:ascii="Times New Roman" w:hAnsi="Times New Roman" w:eastAsia="方正仿宋_GBK" w:cs="Times New Roman"/>
          <w:color w:val="000000"/>
          <w:spacing w:val="0"/>
          <w:lang w:eastAsia="zh-CN"/>
        </w:rPr>
      </w:pPr>
      <w:r>
        <w:rPr>
          <w:rFonts w:hint="default" w:ascii="Times New Roman" w:hAnsi="Times New Roman" w:eastAsia="方正仿宋_GBK" w:cs="Times New Roman"/>
          <w:color w:val="000000"/>
        </w:rPr>
        <w:t>3.3按规定获取了谈判文件，属于实质性参加本次采购活动的供应商</w:t>
      </w:r>
      <w:r>
        <w:rPr>
          <w:rFonts w:hint="default" w:ascii="Times New Roman" w:hAnsi="Times New Roman" w:eastAsia="方正仿宋_GBK" w:cs="Times New Roman"/>
          <w:color w:val="000000"/>
          <w:lang w:eastAsia="zh-CN"/>
        </w:rPr>
        <w:t>。</w:t>
      </w:r>
    </w:p>
    <w:p w14:paraId="1AF94483">
      <w:pPr>
        <w:pStyle w:val="6"/>
        <w:keepNext w:val="0"/>
        <w:keepLines w:val="0"/>
        <w:spacing w:before="0" w:after="0" w:line="560" w:lineRule="exact"/>
        <w:ind w:firstLine="640"/>
        <w:rPr>
          <w:rFonts w:hint="eastAsia" w:ascii="方正楷体_GBK" w:hAnsi="方正楷体_GBK" w:eastAsia="方正楷体_GBK" w:cs="方正楷体_GBK"/>
          <w:color w:val="000000"/>
        </w:rPr>
      </w:pPr>
      <w:bookmarkStart w:id="30" w:name="_Toc183582208"/>
      <w:bookmarkStart w:id="31" w:name="_Toc183682345"/>
      <w:bookmarkStart w:id="32" w:name="_Toc217446037"/>
      <w:bookmarkStart w:id="33" w:name="_Toc35681779"/>
      <w:bookmarkStart w:id="34" w:name="_Toc35689688"/>
      <w:bookmarkStart w:id="35" w:name="_Toc35683740"/>
      <w:r>
        <w:rPr>
          <w:rFonts w:hint="eastAsia" w:ascii="方正楷体_GBK" w:hAnsi="方正楷体_GBK" w:eastAsia="方正楷体_GBK" w:cs="方正楷体_GBK"/>
          <w:color w:val="000000"/>
        </w:rPr>
        <w:t>4. 谈判费用</w:t>
      </w:r>
      <w:bookmarkEnd w:id="30"/>
      <w:bookmarkEnd w:id="31"/>
      <w:bookmarkEnd w:id="32"/>
      <w:r>
        <w:rPr>
          <w:rFonts w:hint="eastAsia" w:ascii="方正楷体_GBK" w:hAnsi="方正楷体_GBK" w:eastAsia="方正楷体_GBK" w:cs="方正楷体_GBK"/>
          <w:color w:val="000000"/>
        </w:rPr>
        <w:t>（实质性要求）</w:t>
      </w:r>
      <w:bookmarkEnd w:id="33"/>
      <w:bookmarkEnd w:id="34"/>
      <w:bookmarkEnd w:id="35"/>
    </w:p>
    <w:p w14:paraId="48D0B779">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供应商应自行承担参加谈判活动的全部费用</w:t>
      </w:r>
      <w:r>
        <w:rPr>
          <w:rFonts w:hint="default" w:ascii="Times New Roman" w:hAnsi="Times New Roman" w:eastAsia="方正仿宋_GBK" w:cs="Times New Roman"/>
          <w:color w:val="000000"/>
          <w:lang w:eastAsia="zh-CN"/>
        </w:rPr>
        <w:t>。</w:t>
      </w:r>
    </w:p>
    <w:p w14:paraId="1AFC6A44">
      <w:pPr>
        <w:pStyle w:val="6"/>
        <w:rPr>
          <w:rFonts w:hint="eastAsia" w:ascii="方正楷体_GBK" w:hAnsi="方正楷体_GBK" w:eastAsia="方正楷体_GBK" w:cs="方正楷体_GBK"/>
          <w:b/>
          <w:color w:val="000000"/>
        </w:rPr>
      </w:pPr>
      <w:r>
        <w:rPr>
          <w:rFonts w:hint="eastAsia" w:ascii="方正楷体_GBK" w:hAnsi="方正楷体_GBK" w:eastAsia="方正楷体_GBK" w:cs="方正楷体_GBK"/>
          <w:b/>
          <w:color w:val="000000"/>
        </w:rPr>
        <w:t>5.充分、公平竞争保障措施（实质性要求）</w:t>
      </w:r>
    </w:p>
    <w:p w14:paraId="3189F35A">
      <w:pPr>
        <w:tabs>
          <w:tab w:val="left" w:pos="7665"/>
        </w:tabs>
        <w:ind w:firstLine="640"/>
        <w:textAlignment w:val="auto"/>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5.1利害关系供应商处理</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单位负责人为同一人或者存在直接控股、管理关系的不同供应商不得参加本次采购活动</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采购项目实行资格预审的，单位负责人为同一人或者存在直接控股、管理关系的不同供应商可以参加资格预审，但只能由供应商确定其中一家符合条件的供应商参加后续的采购活动，否则，其响应文件作为无效处理</w:t>
      </w:r>
      <w:r>
        <w:rPr>
          <w:rFonts w:hint="default" w:ascii="Times New Roman" w:hAnsi="Times New Roman" w:eastAsia="方正仿宋_GBK" w:cs="Times New Roman"/>
          <w:color w:val="000000"/>
          <w:lang w:eastAsia="zh-CN"/>
        </w:rPr>
        <w:t>。</w:t>
      </w:r>
    </w:p>
    <w:p w14:paraId="5D262DD3">
      <w:pPr>
        <w:tabs>
          <w:tab w:val="left" w:pos="7665"/>
        </w:tabs>
        <w:ind w:firstLine="640"/>
        <w:textAlignment w:val="auto"/>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5.2利害关系授权代表处理</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两家以上的供应商不得在同一合同项下的采购项目中，委托同一个自然人、同一家庭的人员、同一单位的人员作为其授权代表，否则，其响应文件作为无效处理</w:t>
      </w:r>
      <w:r>
        <w:rPr>
          <w:rFonts w:hint="default" w:ascii="Times New Roman" w:hAnsi="Times New Roman" w:eastAsia="方正仿宋_GBK" w:cs="Times New Roman"/>
          <w:color w:val="000000"/>
          <w:lang w:eastAsia="zh-CN"/>
        </w:rPr>
        <w:t>。</w:t>
      </w:r>
    </w:p>
    <w:p w14:paraId="7955EAF0">
      <w:pPr>
        <w:tabs>
          <w:tab w:val="left" w:pos="7665"/>
        </w:tabs>
        <w:ind w:firstLine="640"/>
        <w:textAlignment w:val="auto"/>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5.3同一母公司的两家以上的子公司只能组成联合体参加本项目同一合同项下的采购活动，不得以不同供应商身份同时参加本项目同一合同项下的采购活动</w:t>
      </w:r>
      <w:r>
        <w:rPr>
          <w:rFonts w:hint="default" w:ascii="Times New Roman" w:hAnsi="Times New Roman" w:eastAsia="方正仿宋_GBK" w:cs="Times New Roman"/>
          <w:color w:val="000000"/>
          <w:lang w:eastAsia="zh-CN"/>
        </w:rPr>
        <w:t>。</w:t>
      </w:r>
    </w:p>
    <w:p w14:paraId="1DE19CA3">
      <w:pPr>
        <w:ind w:firstLine="640"/>
        <w:outlineLvl w:val="1"/>
        <w:rPr>
          <w:rFonts w:hint="eastAsia" w:ascii="方正黑体_GBK" w:hAnsi="方正黑体_GBK" w:eastAsia="方正黑体_GBK" w:cs="方正黑体_GBK"/>
          <w:b w:val="0"/>
          <w:bCs/>
          <w:kern w:val="44"/>
          <w:lang w:val="zh-CN"/>
        </w:rPr>
      </w:pPr>
      <w:bookmarkStart w:id="36" w:name="_Toc35681780"/>
      <w:bookmarkStart w:id="37" w:name="_Toc217446038"/>
      <w:bookmarkStart w:id="38" w:name="_Toc35683741"/>
      <w:bookmarkStart w:id="39" w:name="_Toc89075875"/>
      <w:bookmarkStart w:id="40" w:name="_Toc183682346"/>
      <w:bookmarkStart w:id="41" w:name="_Toc77400779"/>
      <w:bookmarkStart w:id="42" w:name="_Toc35689689"/>
      <w:bookmarkStart w:id="43" w:name="_Toc183582209"/>
      <w:r>
        <w:rPr>
          <w:rFonts w:hint="eastAsia" w:ascii="方正黑体_GBK" w:hAnsi="方正黑体_GBK" w:eastAsia="方正黑体_GBK" w:cs="方正黑体_GBK"/>
          <w:b w:val="0"/>
          <w:bCs/>
          <w:kern w:val="44"/>
          <w:lang w:val="en-US" w:eastAsia="zh-CN"/>
        </w:rPr>
        <w:t>三</w:t>
      </w:r>
      <w:r>
        <w:rPr>
          <w:rFonts w:hint="eastAsia" w:ascii="方正黑体_GBK" w:hAnsi="方正黑体_GBK" w:eastAsia="方正黑体_GBK" w:cs="方正黑体_GBK"/>
          <w:b w:val="0"/>
          <w:bCs/>
          <w:kern w:val="44"/>
          <w:lang w:val="zh-CN"/>
        </w:rPr>
        <w:t>、谈判文件</w:t>
      </w:r>
      <w:bookmarkEnd w:id="36"/>
      <w:bookmarkEnd w:id="37"/>
      <w:bookmarkEnd w:id="38"/>
      <w:bookmarkEnd w:id="39"/>
      <w:bookmarkEnd w:id="40"/>
      <w:bookmarkEnd w:id="41"/>
      <w:bookmarkEnd w:id="42"/>
      <w:bookmarkEnd w:id="43"/>
    </w:p>
    <w:p w14:paraId="3D9FE0C0">
      <w:pPr>
        <w:pStyle w:val="6"/>
        <w:rPr>
          <w:rFonts w:hint="eastAsia" w:ascii="方正楷体_GBK" w:hAnsi="方正楷体_GBK" w:eastAsia="方正楷体_GBK" w:cs="方正楷体_GBK"/>
          <w:b/>
          <w:bCs/>
          <w:color w:val="000000"/>
        </w:rPr>
      </w:pPr>
      <w:bookmarkStart w:id="44" w:name="_Toc217446039"/>
      <w:bookmarkStart w:id="45" w:name="_Toc183682347"/>
      <w:bookmarkStart w:id="46" w:name="_Toc183582210"/>
      <w:r>
        <w:rPr>
          <w:rFonts w:hint="eastAsia" w:ascii="方正楷体_GBK" w:hAnsi="方正楷体_GBK" w:eastAsia="方正楷体_GBK" w:cs="方正楷体_GBK"/>
          <w:b/>
          <w:bCs/>
          <w:color w:val="000000"/>
        </w:rPr>
        <w:t>6.谈判文件的构成</w:t>
      </w:r>
      <w:bookmarkEnd w:id="44"/>
      <w:bookmarkEnd w:id="45"/>
      <w:bookmarkEnd w:id="46"/>
      <w:r>
        <w:rPr>
          <w:rFonts w:hint="eastAsia" w:ascii="方正楷体_GBK" w:hAnsi="方正楷体_GBK" w:eastAsia="方正楷体_GBK" w:cs="方正楷体_GBK"/>
          <w:b/>
          <w:bCs/>
          <w:color w:val="000000"/>
        </w:rPr>
        <w:t>（实质性要求）</w:t>
      </w:r>
    </w:p>
    <w:p w14:paraId="3DF53EEB">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6.1 谈判文件是供应商准备响应文件和参加谈判的依据，同时也是谈判的重要依据</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谈判文件用以阐明谈判项目所需的资质、技术、服务及报价等要求、谈判程序、有关规定和注意事项以及合同主要条款等</w:t>
      </w:r>
      <w:r>
        <w:rPr>
          <w:rFonts w:hint="default" w:ascii="Times New Roman" w:hAnsi="Times New Roman" w:eastAsia="方正仿宋_GBK" w:cs="Times New Roman"/>
          <w:color w:val="000000"/>
          <w:lang w:eastAsia="zh-CN"/>
        </w:rPr>
        <w:t>。</w:t>
      </w:r>
    </w:p>
    <w:p w14:paraId="5805CED5">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6.2 供应商应认真阅读和充分理解谈判文件中所有的事项、格式条款和规范要求</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供应商应详细阅读谈判文件的全部内容，按照谈判文件的要求提供响应文件，并保证所提供的全部资料的真实性和有效性，一经发现有虚假行为的，将取消其参加谈判或成交资格，并承担相应的法律责任</w:t>
      </w:r>
      <w:r>
        <w:rPr>
          <w:rFonts w:hint="default" w:ascii="Times New Roman" w:hAnsi="Times New Roman" w:eastAsia="方正仿宋_GBK" w:cs="Times New Roman"/>
          <w:color w:val="000000"/>
          <w:lang w:eastAsia="zh-CN"/>
        </w:rPr>
        <w:t>。</w:t>
      </w:r>
    </w:p>
    <w:p w14:paraId="309FCC63">
      <w:pPr>
        <w:pStyle w:val="6"/>
        <w:rPr>
          <w:rFonts w:hint="eastAsia" w:ascii="方正楷体_GBK" w:hAnsi="方正楷体_GBK" w:eastAsia="方正楷体_GBK" w:cs="方正楷体_GBK"/>
          <w:b/>
          <w:bCs/>
          <w:color w:val="000000"/>
        </w:rPr>
      </w:pPr>
      <w:bookmarkStart w:id="47" w:name="_Toc183582211"/>
      <w:bookmarkStart w:id="48" w:name="_Toc183682348"/>
      <w:bookmarkStart w:id="49" w:name="_Toc217446040"/>
      <w:r>
        <w:rPr>
          <w:rFonts w:hint="eastAsia" w:ascii="方正楷体_GBK" w:hAnsi="方正楷体_GBK" w:eastAsia="方正楷体_GBK" w:cs="方正楷体_GBK"/>
          <w:b/>
          <w:bCs/>
          <w:color w:val="000000"/>
        </w:rPr>
        <w:t>7.谈判文件的澄清</w:t>
      </w:r>
      <w:bookmarkEnd w:id="47"/>
      <w:bookmarkEnd w:id="48"/>
      <w:r>
        <w:rPr>
          <w:rFonts w:hint="eastAsia" w:ascii="方正楷体_GBK" w:hAnsi="方正楷体_GBK" w:eastAsia="方正楷体_GBK" w:cs="方正楷体_GBK"/>
          <w:b/>
          <w:bCs/>
          <w:color w:val="000000"/>
        </w:rPr>
        <w:t>和修改</w:t>
      </w:r>
      <w:bookmarkEnd w:id="49"/>
    </w:p>
    <w:p w14:paraId="294C66CA">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7.1 在递交响应文件截止时间前，采购人可以对谈判文件进行澄清或者修改</w:t>
      </w:r>
      <w:r>
        <w:rPr>
          <w:rFonts w:hint="default" w:ascii="Times New Roman" w:hAnsi="Times New Roman" w:eastAsia="方正仿宋_GBK" w:cs="Times New Roman"/>
          <w:color w:val="000000"/>
          <w:lang w:eastAsia="zh-CN"/>
        </w:rPr>
        <w:t>。</w:t>
      </w:r>
    </w:p>
    <w:p w14:paraId="60841073">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7.2 采购人对已发出的谈判文件进行澄清或者修改，应当以书面形式将澄清或者修改的内容通知所有购买了谈判文件的供应商</w:t>
      </w:r>
      <w:r>
        <w:rPr>
          <w:rFonts w:hint="default" w:ascii="Times New Roman" w:hAnsi="Times New Roman" w:eastAsia="方正仿宋_GBK" w:cs="Times New Roman"/>
          <w:color w:val="000000"/>
          <w:lang w:eastAsia="zh-CN"/>
        </w:rPr>
        <w:t>。</w:t>
      </w:r>
    </w:p>
    <w:p w14:paraId="27B53EA3">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7.3供应商认为采购人需要对谈判文件进行澄清或者修改的，可以以书面形式向采购人提出申请，由采购人决定是否采纳供应商的申请事项</w:t>
      </w:r>
      <w:r>
        <w:rPr>
          <w:rFonts w:hint="default" w:ascii="Times New Roman" w:hAnsi="Times New Roman" w:eastAsia="方正仿宋_GBK" w:cs="Times New Roman"/>
          <w:color w:val="000000"/>
          <w:lang w:eastAsia="zh-CN"/>
        </w:rPr>
        <w:t>。</w:t>
      </w:r>
    </w:p>
    <w:p w14:paraId="6DB882D2">
      <w:pPr>
        <w:ind w:firstLine="640"/>
        <w:outlineLvl w:val="1"/>
        <w:rPr>
          <w:rFonts w:hint="eastAsia" w:ascii="方正黑体_GBK" w:hAnsi="方正黑体_GBK" w:eastAsia="方正黑体_GBK" w:cs="方正黑体_GBK"/>
          <w:b w:val="0"/>
          <w:bCs/>
          <w:kern w:val="44"/>
          <w:lang w:val="zh-CN"/>
        </w:rPr>
      </w:pPr>
      <w:bookmarkStart w:id="50" w:name="_Toc89075876"/>
      <w:bookmarkStart w:id="51" w:name="_Toc35681781"/>
      <w:bookmarkStart w:id="52" w:name="_Toc35689690"/>
      <w:bookmarkStart w:id="53" w:name="_Toc35683742"/>
      <w:bookmarkStart w:id="54" w:name="_Toc217446042"/>
      <w:bookmarkStart w:id="55" w:name="_Toc183582214"/>
      <w:bookmarkStart w:id="56" w:name="_Toc183682351"/>
      <w:bookmarkStart w:id="57" w:name="_Toc77400780"/>
      <w:r>
        <w:rPr>
          <w:rFonts w:hint="eastAsia" w:ascii="方正黑体_GBK" w:hAnsi="方正黑体_GBK" w:eastAsia="方正黑体_GBK" w:cs="方正黑体_GBK"/>
          <w:b w:val="0"/>
          <w:bCs/>
          <w:kern w:val="44"/>
          <w:lang w:val="en-US" w:eastAsia="zh-CN"/>
        </w:rPr>
        <w:t>四</w:t>
      </w:r>
      <w:r>
        <w:rPr>
          <w:rFonts w:hint="eastAsia" w:ascii="方正黑体_GBK" w:hAnsi="方正黑体_GBK" w:eastAsia="方正黑体_GBK" w:cs="方正黑体_GBK"/>
          <w:b w:val="0"/>
          <w:bCs/>
          <w:kern w:val="44"/>
          <w:lang w:val="zh-CN"/>
        </w:rPr>
        <w:t>、响应文件</w:t>
      </w:r>
      <w:bookmarkEnd w:id="50"/>
      <w:bookmarkEnd w:id="51"/>
      <w:bookmarkEnd w:id="52"/>
      <w:bookmarkEnd w:id="53"/>
      <w:bookmarkEnd w:id="54"/>
      <w:bookmarkEnd w:id="55"/>
      <w:bookmarkEnd w:id="56"/>
      <w:bookmarkEnd w:id="57"/>
    </w:p>
    <w:p w14:paraId="03ED82BD">
      <w:pPr>
        <w:pStyle w:val="6"/>
        <w:rPr>
          <w:rFonts w:hint="eastAsia" w:ascii="方正楷体_GBK" w:hAnsi="方正楷体_GBK" w:eastAsia="方正楷体_GBK" w:cs="方正楷体_GBK"/>
          <w:b/>
          <w:bCs/>
          <w:color w:val="000000"/>
        </w:rPr>
      </w:pPr>
      <w:bookmarkStart w:id="58" w:name="_Toc183682352"/>
      <w:bookmarkStart w:id="59" w:name="_Toc183582215"/>
      <w:bookmarkStart w:id="60" w:name="_Toc217446043"/>
      <w:r>
        <w:rPr>
          <w:rFonts w:hint="eastAsia" w:ascii="方正楷体_GBK" w:hAnsi="方正楷体_GBK" w:eastAsia="方正楷体_GBK" w:cs="方正楷体_GBK"/>
          <w:b/>
          <w:bCs/>
          <w:color w:val="000000"/>
        </w:rPr>
        <w:t>8.响应文件的组成（实质性要求）</w:t>
      </w:r>
    </w:p>
    <w:p w14:paraId="4F1D761E">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b w:val="0"/>
          <w:bCs w:val="0"/>
          <w:color w:val="000000"/>
        </w:rPr>
        <w:t>供应商应严格按照评分规则及内容的要求和顺序制定响应文件</w:t>
      </w:r>
      <w:r>
        <w:rPr>
          <w:rFonts w:hint="default" w:ascii="Times New Roman" w:hAnsi="Times New Roman" w:eastAsia="方正仿宋_GBK" w:cs="Times New Roman"/>
          <w:b w:val="0"/>
          <w:bCs w:val="0"/>
          <w:color w:val="000000"/>
          <w:lang w:eastAsia="zh-CN"/>
        </w:rPr>
        <w:t>。</w:t>
      </w:r>
      <w:r>
        <w:rPr>
          <w:rFonts w:hint="default" w:ascii="Times New Roman" w:hAnsi="Times New Roman" w:eastAsia="方正仿宋_GBK" w:cs="Times New Roman"/>
          <w:color w:val="000000"/>
        </w:rPr>
        <w:t>供应商在成交后将成交项目的非主体、非关键性工作分包他人完成的，应当在响应文件中载明或谈判过程中澄清</w:t>
      </w:r>
      <w:r>
        <w:rPr>
          <w:rFonts w:hint="default" w:ascii="Times New Roman" w:hAnsi="Times New Roman" w:eastAsia="方正仿宋_GBK" w:cs="Times New Roman"/>
          <w:color w:val="000000"/>
          <w:lang w:eastAsia="zh-CN"/>
        </w:rPr>
        <w:t>。</w:t>
      </w:r>
    </w:p>
    <w:bookmarkEnd w:id="58"/>
    <w:bookmarkEnd w:id="59"/>
    <w:bookmarkEnd w:id="60"/>
    <w:p w14:paraId="36CD0306">
      <w:pPr>
        <w:pStyle w:val="6"/>
        <w:rPr>
          <w:rFonts w:hint="eastAsia" w:ascii="方正楷体_GBK" w:hAnsi="方正楷体_GBK" w:eastAsia="方正楷体_GBK" w:cs="方正楷体_GBK"/>
          <w:b/>
          <w:bCs/>
          <w:color w:val="000000"/>
        </w:rPr>
      </w:pPr>
      <w:bookmarkStart w:id="61" w:name="_Toc217446045"/>
      <w:r>
        <w:rPr>
          <w:rFonts w:hint="eastAsia" w:ascii="方正楷体_GBK" w:hAnsi="方正楷体_GBK" w:eastAsia="方正楷体_GBK" w:cs="方正楷体_GBK"/>
          <w:b/>
          <w:bCs/>
          <w:color w:val="000000"/>
        </w:rPr>
        <w:t>9.报价货币（实质性要求）</w:t>
      </w:r>
    </w:p>
    <w:p w14:paraId="318C251D">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本次谈判项目的报价货币为人民币，报价以谈判文件约定为准</w:t>
      </w:r>
      <w:r>
        <w:rPr>
          <w:rFonts w:hint="default" w:ascii="Times New Roman" w:hAnsi="Times New Roman" w:eastAsia="方正仿宋_GBK" w:cs="Times New Roman"/>
          <w:color w:val="000000"/>
          <w:lang w:eastAsia="zh-CN"/>
        </w:rPr>
        <w:t>。</w:t>
      </w:r>
    </w:p>
    <w:bookmarkEnd w:id="61"/>
    <w:p w14:paraId="7F9A3D3C">
      <w:pPr>
        <w:pStyle w:val="6"/>
        <w:rPr>
          <w:rFonts w:hint="eastAsia" w:ascii="方正楷体_GBK" w:hAnsi="方正楷体_GBK" w:eastAsia="方正楷体_GBK" w:cs="方正楷体_GBK"/>
          <w:b/>
          <w:bCs/>
          <w:color w:val="000000"/>
        </w:rPr>
      </w:pPr>
      <w:r>
        <w:rPr>
          <w:rFonts w:hint="eastAsia" w:ascii="方正楷体_GBK" w:hAnsi="方正楷体_GBK" w:eastAsia="方正楷体_GBK" w:cs="方正楷体_GBK"/>
          <w:b/>
          <w:bCs/>
          <w:color w:val="000000"/>
        </w:rPr>
        <w:t>10.响应文件的编制和签署</w:t>
      </w:r>
    </w:p>
    <w:p w14:paraId="05E3EDA1">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10.1资格性响应文件正本1份，并在其封面上清楚地标明资格性响应文件、采购项目名称、采购项目编号、包件号及名称（若有），按照采购人进行区别装订</w:t>
      </w:r>
      <w:r>
        <w:rPr>
          <w:rFonts w:hint="default" w:ascii="Times New Roman" w:hAnsi="Times New Roman" w:eastAsia="方正仿宋_GBK" w:cs="Times New Roman"/>
          <w:color w:val="000000"/>
          <w:lang w:eastAsia="zh-CN"/>
        </w:rPr>
        <w:t>。</w:t>
      </w:r>
    </w:p>
    <w:p w14:paraId="6514E7E2">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10.2响应文件正本需打印或用不褪色、不变质的墨水书写，并在规定签章处签字和盖章</w:t>
      </w:r>
      <w:r>
        <w:rPr>
          <w:rFonts w:hint="default" w:ascii="Times New Roman" w:hAnsi="Times New Roman" w:eastAsia="方正仿宋_GBK" w:cs="Times New Roman"/>
          <w:color w:val="000000"/>
          <w:lang w:eastAsia="zh-CN"/>
        </w:rPr>
        <w:t>。</w:t>
      </w:r>
    </w:p>
    <w:p w14:paraId="42CAF12F">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10.3字迹潦草、表达不清或可能导致非唯一理解的响应文件可能被作为无效处理</w:t>
      </w:r>
      <w:r>
        <w:rPr>
          <w:rFonts w:hint="default" w:ascii="Times New Roman" w:hAnsi="Times New Roman" w:eastAsia="方正仿宋_GBK" w:cs="Times New Roman"/>
          <w:color w:val="000000"/>
          <w:lang w:eastAsia="zh-CN"/>
        </w:rPr>
        <w:t>。</w:t>
      </w:r>
    </w:p>
    <w:p w14:paraId="37A4C4C7">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10.4响应文件正本需要逐页编目编码</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响应文件统一用A4幅面纸印制，除另有规定外</w:t>
      </w:r>
      <w:r>
        <w:rPr>
          <w:rFonts w:hint="default" w:ascii="Times New Roman" w:hAnsi="Times New Roman" w:eastAsia="方正仿宋_GBK" w:cs="Times New Roman"/>
          <w:color w:val="000000"/>
          <w:lang w:eastAsia="zh-CN"/>
        </w:rPr>
        <w:t>。</w:t>
      </w:r>
    </w:p>
    <w:p w14:paraId="51BDD4C9">
      <w:pPr>
        <w:tabs>
          <w:tab w:val="left" w:pos="7665"/>
        </w:tabs>
        <w:ind w:firstLine="640"/>
        <w:rPr>
          <w:rFonts w:hint="default" w:ascii="Times New Roman" w:hAnsi="Times New Roman" w:eastAsia="方正仿宋_GBK" w:cs="Times New Roman"/>
          <w:color w:val="000000"/>
        </w:rPr>
      </w:pPr>
      <w:r>
        <w:rPr>
          <w:rFonts w:hint="eastAsia" w:ascii="方正楷体_GBK" w:hAnsi="方正楷体_GBK" w:eastAsia="方正楷体_GBK" w:cs="方正楷体_GBK"/>
          <w:b/>
          <w:bCs/>
          <w:color w:val="000000"/>
        </w:rPr>
        <w:t>11.响应文件的密封和标注</w:t>
      </w:r>
      <w:r>
        <w:rPr>
          <w:rFonts w:hint="default" w:ascii="Times New Roman" w:hAnsi="Times New Roman" w:eastAsia="方正仿宋_GBK" w:cs="Times New Roman"/>
          <w:color w:val="000000"/>
        </w:rPr>
        <w:t>（不属于本项目谈判小组评审范畴，由采购人在接收响应文件时及时处理）</w:t>
      </w:r>
    </w:p>
    <w:p w14:paraId="3CC419BB">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11.1响应文件可以单独密封包装，也可以所有响应文件密封包装在一个密封袋内</w:t>
      </w:r>
      <w:r>
        <w:rPr>
          <w:rFonts w:hint="default" w:ascii="Times New Roman" w:hAnsi="Times New Roman" w:eastAsia="方正仿宋_GBK" w:cs="Times New Roman"/>
          <w:color w:val="000000"/>
          <w:lang w:eastAsia="zh-CN"/>
        </w:rPr>
        <w:t>。</w:t>
      </w:r>
    </w:p>
    <w:p w14:paraId="3945F421">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11.2响应文件密封袋的最外层应清楚地标明采购项目名称、采购项目编号、包件号及名称（若有）、供应商名称</w:t>
      </w:r>
      <w:r>
        <w:rPr>
          <w:rFonts w:hint="default" w:ascii="Times New Roman" w:hAnsi="Times New Roman" w:eastAsia="方正仿宋_GBK" w:cs="Times New Roman"/>
          <w:color w:val="000000"/>
          <w:lang w:eastAsia="zh-CN"/>
        </w:rPr>
        <w:t>。</w:t>
      </w:r>
    </w:p>
    <w:p w14:paraId="634FEA33">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11.3所有外层密封袋的封口处应粘贴牢固</w:t>
      </w:r>
      <w:r>
        <w:rPr>
          <w:rFonts w:hint="default" w:ascii="Times New Roman" w:hAnsi="Times New Roman" w:eastAsia="方正仿宋_GBK" w:cs="Times New Roman"/>
          <w:color w:val="000000"/>
          <w:lang w:eastAsia="zh-CN"/>
        </w:rPr>
        <w:t>。</w:t>
      </w:r>
    </w:p>
    <w:p w14:paraId="4509DD0E">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11.4未按以上要求进行密封和标注的响应文件，采购人将拒收或者在时间允许的范围内，要求修改完善后接收</w:t>
      </w:r>
      <w:r>
        <w:rPr>
          <w:rFonts w:hint="default" w:ascii="Times New Roman" w:hAnsi="Times New Roman" w:eastAsia="方正仿宋_GBK" w:cs="Times New Roman"/>
          <w:color w:val="000000"/>
          <w:lang w:eastAsia="zh-CN"/>
        </w:rPr>
        <w:t>。</w:t>
      </w:r>
    </w:p>
    <w:p w14:paraId="6034A2BC">
      <w:pPr>
        <w:ind w:firstLine="640"/>
        <w:outlineLvl w:val="1"/>
        <w:rPr>
          <w:rFonts w:hint="eastAsia" w:ascii="方正黑体_GBK" w:hAnsi="方正黑体_GBK" w:eastAsia="方正黑体_GBK" w:cs="方正黑体_GBK"/>
          <w:b w:val="0"/>
          <w:bCs/>
          <w:kern w:val="44"/>
          <w:lang w:val="zh-CN"/>
        </w:rPr>
      </w:pPr>
      <w:bookmarkStart w:id="62" w:name="_Toc35689691"/>
      <w:bookmarkStart w:id="63" w:name="_Toc35681782"/>
      <w:bookmarkStart w:id="64" w:name="_Toc35683743"/>
      <w:r>
        <w:rPr>
          <w:rFonts w:hint="eastAsia" w:ascii="方正黑体_GBK" w:hAnsi="方正黑体_GBK" w:eastAsia="方正黑体_GBK" w:cs="方正黑体_GBK"/>
          <w:b w:val="0"/>
          <w:bCs/>
          <w:kern w:val="44"/>
          <w:lang w:val="en-US" w:eastAsia="zh-CN"/>
        </w:rPr>
        <w:t>五</w:t>
      </w:r>
      <w:r>
        <w:rPr>
          <w:rFonts w:hint="eastAsia" w:ascii="方正黑体_GBK" w:hAnsi="方正黑体_GBK" w:eastAsia="方正黑体_GBK" w:cs="方正黑体_GBK"/>
          <w:b w:val="0"/>
          <w:bCs/>
          <w:kern w:val="44"/>
          <w:lang w:val="zh-CN"/>
        </w:rPr>
        <w:t>、评审</w:t>
      </w:r>
      <w:bookmarkEnd w:id="62"/>
      <w:bookmarkEnd w:id="63"/>
      <w:bookmarkEnd w:id="64"/>
    </w:p>
    <w:p w14:paraId="396724E9">
      <w:pPr>
        <w:pStyle w:val="6"/>
        <w:rPr>
          <w:rFonts w:hint="eastAsia" w:ascii="方正楷体_GBK" w:hAnsi="方正楷体_GBK" w:eastAsia="方正楷体_GBK" w:cs="方正楷体_GBK"/>
          <w:b/>
          <w:bCs/>
          <w:color w:val="000000"/>
          <w:lang w:eastAsia="zh-CN"/>
        </w:rPr>
      </w:pPr>
      <w:r>
        <w:rPr>
          <w:rFonts w:hint="eastAsia" w:ascii="方正楷体_GBK" w:hAnsi="方正楷体_GBK" w:eastAsia="方正楷体_GBK" w:cs="方正楷体_GBK"/>
          <w:b/>
          <w:bCs/>
          <w:color w:val="000000"/>
        </w:rPr>
        <w:t>12.谈判小组的组建由企业内部决策决定</w:t>
      </w:r>
      <w:r>
        <w:rPr>
          <w:rFonts w:hint="eastAsia" w:ascii="方正楷体_GBK" w:hAnsi="方正楷体_GBK" w:eastAsia="方正楷体_GBK" w:cs="方正楷体_GBK"/>
          <w:b/>
          <w:bCs/>
          <w:color w:val="000000"/>
          <w:lang w:eastAsia="zh-CN"/>
        </w:rPr>
        <w:t>。</w:t>
      </w:r>
      <w:r>
        <w:rPr>
          <w:rFonts w:hint="eastAsia" w:ascii="方正楷体_GBK" w:hAnsi="方正楷体_GBK" w:eastAsia="方正楷体_GBK" w:cs="方正楷体_GBK"/>
          <w:b/>
          <w:bCs/>
          <w:color w:val="000000"/>
        </w:rPr>
        <w:t>评审工作按相关法律法规规定执行</w:t>
      </w:r>
      <w:r>
        <w:rPr>
          <w:rFonts w:hint="eastAsia" w:ascii="方正楷体_GBK" w:hAnsi="方正楷体_GBK" w:eastAsia="方正楷体_GBK" w:cs="方正楷体_GBK"/>
          <w:b/>
          <w:bCs/>
          <w:color w:val="000000"/>
          <w:lang w:eastAsia="zh-CN"/>
        </w:rPr>
        <w:t>。</w:t>
      </w:r>
    </w:p>
    <w:p w14:paraId="188ACE63">
      <w:pPr>
        <w:pStyle w:val="6"/>
        <w:rPr>
          <w:rFonts w:hint="eastAsia" w:ascii="方正楷体_GBK" w:hAnsi="方正楷体_GBK" w:eastAsia="方正楷体_GBK" w:cs="方正楷体_GBK"/>
          <w:b/>
          <w:bCs/>
          <w:color w:val="000000"/>
        </w:rPr>
      </w:pPr>
      <w:r>
        <w:rPr>
          <w:rFonts w:hint="eastAsia" w:ascii="方正楷体_GBK" w:hAnsi="方正楷体_GBK" w:eastAsia="方正楷体_GBK" w:cs="方正楷体_GBK"/>
          <w:b/>
          <w:bCs/>
          <w:color w:val="000000"/>
        </w:rPr>
        <w:t>13.成交结果</w:t>
      </w:r>
    </w:p>
    <w:p w14:paraId="51B224BF">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13.1采购人确定成交供应商后，将发出成交通知书或直接签订合同</w:t>
      </w:r>
      <w:r>
        <w:rPr>
          <w:rFonts w:hint="default" w:ascii="Times New Roman" w:hAnsi="Times New Roman" w:eastAsia="方正仿宋_GBK" w:cs="Times New Roman"/>
          <w:color w:val="000000"/>
          <w:lang w:eastAsia="zh-CN"/>
        </w:rPr>
        <w:t>。</w:t>
      </w:r>
    </w:p>
    <w:p w14:paraId="66C35085">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13.2成交供应商应当及时领取成交通知书</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本项目不需要交纳履约保证金/需要交纳履约保证金的，成交供应商应当及时向采购人交纳</w:t>
      </w:r>
      <w:r>
        <w:rPr>
          <w:rFonts w:hint="default" w:ascii="Times New Roman" w:hAnsi="Times New Roman" w:eastAsia="方正仿宋_GBK" w:cs="Times New Roman"/>
          <w:color w:val="000000"/>
          <w:lang w:eastAsia="zh-CN"/>
        </w:rPr>
        <w:t>。</w:t>
      </w:r>
    </w:p>
    <w:p w14:paraId="1ED56074">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13.3成交供应商不能及时领取成交通知书，采购人应当通过邮寄、快递等方式将项目成交通知书送达成交供应商</w:t>
      </w:r>
      <w:r>
        <w:rPr>
          <w:rFonts w:hint="default" w:ascii="Times New Roman" w:hAnsi="Times New Roman" w:eastAsia="方正仿宋_GBK" w:cs="Times New Roman"/>
          <w:color w:val="000000"/>
          <w:lang w:eastAsia="zh-CN"/>
        </w:rPr>
        <w:t>。</w:t>
      </w:r>
    </w:p>
    <w:p w14:paraId="572C0182">
      <w:pPr>
        <w:pStyle w:val="6"/>
        <w:rPr>
          <w:rFonts w:hint="eastAsia" w:ascii="方正楷体_GBK" w:hAnsi="方正楷体_GBK" w:eastAsia="方正楷体_GBK" w:cs="方正楷体_GBK"/>
          <w:b/>
          <w:bCs/>
          <w:color w:val="000000"/>
        </w:rPr>
      </w:pPr>
      <w:r>
        <w:rPr>
          <w:rFonts w:hint="eastAsia" w:ascii="方正楷体_GBK" w:hAnsi="方正楷体_GBK" w:eastAsia="方正楷体_GBK" w:cs="方正楷体_GBK"/>
          <w:b/>
          <w:bCs/>
          <w:color w:val="000000"/>
        </w:rPr>
        <w:t>14.成交通知书</w:t>
      </w:r>
    </w:p>
    <w:p w14:paraId="5C294B67">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14.1成交通知书为签订采购合同的依据之一，可作为合同的有效组成部分</w:t>
      </w:r>
      <w:r>
        <w:rPr>
          <w:rFonts w:hint="default" w:ascii="Times New Roman" w:hAnsi="Times New Roman" w:eastAsia="方正仿宋_GBK" w:cs="Times New Roman"/>
          <w:color w:val="000000"/>
          <w:lang w:eastAsia="zh-CN"/>
        </w:rPr>
        <w:t>。</w:t>
      </w:r>
    </w:p>
    <w:p w14:paraId="2B4BF755">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14.2成交通知书对采购人和成交供应商均具有法律效力</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成交通知书发出后，采购人无正当理由改变成交结果，或者成交供应商无正当理由放弃成交的，将承担相应的法律责任</w:t>
      </w:r>
      <w:r>
        <w:rPr>
          <w:rFonts w:hint="default" w:ascii="Times New Roman" w:hAnsi="Times New Roman" w:eastAsia="方正仿宋_GBK" w:cs="Times New Roman"/>
          <w:color w:val="000000"/>
          <w:lang w:eastAsia="zh-CN"/>
        </w:rPr>
        <w:t>。</w:t>
      </w:r>
    </w:p>
    <w:p w14:paraId="63BAFD64">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14.3成交供应商的响应文件作为无效响应文件处理或者有法律法规规章制度规定的成交无效情形的，采购人在取得有权主体的认定以后，有权宣布发出的成交通知书无效，并收回发出的成交通知书，依法重新确定成交供应商或者重新开展采购活动</w:t>
      </w:r>
      <w:r>
        <w:rPr>
          <w:rFonts w:hint="default" w:ascii="Times New Roman" w:hAnsi="Times New Roman" w:eastAsia="方正仿宋_GBK" w:cs="Times New Roman"/>
          <w:color w:val="000000"/>
          <w:lang w:eastAsia="zh-CN"/>
        </w:rPr>
        <w:t>。</w:t>
      </w:r>
    </w:p>
    <w:p w14:paraId="091C1FD1">
      <w:pPr>
        <w:ind w:firstLine="640"/>
        <w:outlineLvl w:val="1"/>
        <w:rPr>
          <w:rFonts w:hint="eastAsia" w:ascii="方正黑体_GBK" w:hAnsi="方正黑体_GBK" w:eastAsia="方正黑体_GBK" w:cs="方正黑体_GBK"/>
          <w:b w:val="0"/>
          <w:bCs/>
          <w:kern w:val="44"/>
          <w:lang w:val="zh-CN"/>
        </w:rPr>
      </w:pPr>
      <w:bookmarkStart w:id="65" w:name="_Toc35689693"/>
      <w:bookmarkStart w:id="66" w:name="_Toc35681784"/>
      <w:bookmarkStart w:id="67" w:name="_Toc35683745"/>
      <w:r>
        <w:rPr>
          <w:rFonts w:hint="eastAsia" w:ascii="方正黑体_GBK" w:hAnsi="方正黑体_GBK" w:eastAsia="方正黑体_GBK" w:cs="方正黑体_GBK"/>
          <w:b w:val="0"/>
          <w:bCs/>
          <w:kern w:val="44"/>
          <w:lang w:val="en-US" w:eastAsia="zh-CN"/>
        </w:rPr>
        <w:t>六</w:t>
      </w:r>
      <w:r>
        <w:rPr>
          <w:rFonts w:hint="eastAsia" w:ascii="方正黑体_GBK" w:hAnsi="方正黑体_GBK" w:eastAsia="方正黑体_GBK" w:cs="方正黑体_GBK"/>
          <w:b w:val="0"/>
          <w:bCs/>
          <w:kern w:val="44"/>
          <w:lang w:val="zh-CN"/>
        </w:rPr>
        <w:t>、合同事项</w:t>
      </w:r>
      <w:bookmarkEnd w:id="65"/>
      <w:bookmarkEnd w:id="66"/>
      <w:bookmarkEnd w:id="67"/>
    </w:p>
    <w:p w14:paraId="18014953">
      <w:pPr>
        <w:pStyle w:val="6"/>
        <w:rPr>
          <w:rFonts w:hint="eastAsia" w:ascii="方正楷体_GBK" w:hAnsi="方正楷体_GBK" w:eastAsia="方正楷体_GBK" w:cs="方正楷体_GBK"/>
          <w:b/>
          <w:bCs/>
          <w:color w:val="000000"/>
        </w:rPr>
      </w:pPr>
      <w:bookmarkStart w:id="68" w:name="_Toc101250646"/>
      <w:bookmarkStart w:id="69" w:name="_Toc430773927"/>
      <w:bookmarkStart w:id="70" w:name="_Toc101174151"/>
      <w:bookmarkStart w:id="71" w:name="_Toc101338364"/>
      <w:bookmarkStart w:id="72" w:name="_Toc209847069"/>
      <w:r>
        <w:rPr>
          <w:rFonts w:hint="eastAsia" w:ascii="方正楷体_GBK" w:hAnsi="方正楷体_GBK" w:eastAsia="方正楷体_GBK" w:cs="方正楷体_GBK"/>
          <w:b/>
          <w:bCs/>
          <w:color w:val="000000"/>
        </w:rPr>
        <w:t>15.签订合同</w:t>
      </w:r>
      <w:bookmarkEnd w:id="68"/>
      <w:bookmarkEnd w:id="69"/>
      <w:bookmarkEnd w:id="70"/>
      <w:bookmarkEnd w:id="71"/>
      <w:bookmarkEnd w:id="72"/>
    </w:p>
    <w:p w14:paraId="788FB472">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15.1 确定中标结果并发出成交通知书后，等待采购人提出签订合同要求后与供应商签订采购合同</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由于成交供应商的原因逾期未与采购人签订采购合同的，将视为放弃成交，取消其成交资格并将按相关规定进行处理</w:t>
      </w:r>
      <w:r>
        <w:rPr>
          <w:rFonts w:hint="default" w:ascii="Times New Roman" w:hAnsi="Times New Roman" w:eastAsia="方正仿宋_GBK" w:cs="Times New Roman"/>
          <w:color w:val="000000"/>
          <w:lang w:eastAsia="zh-CN"/>
        </w:rPr>
        <w:t>。</w:t>
      </w:r>
    </w:p>
    <w:p w14:paraId="1CF5A6E6">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15.2 采购人不得向成交供应商提出任何不合理的要求，作为签订合同的条件，不得与成交供应商私下订立背离合同实质性内容的任何协议，所签订的合同不得对谈判文件和成交供应商响应文件确定的事项进行修改</w:t>
      </w:r>
      <w:r>
        <w:rPr>
          <w:rFonts w:hint="default" w:ascii="Times New Roman" w:hAnsi="Times New Roman" w:eastAsia="方正仿宋_GBK" w:cs="Times New Roman"/>
          <w:color w:val="000000"/>
          <w:lang w:eastAsia="zh-CN"/>
        </w:rPr>
        <w:t>。</w:t>
      </w:r>
    </w:p>
    <w:p w14:paraId="6DF7C218">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15.3竞争性谈判文件、成交供应商提交的响应文件、谈判中的最后报价、成交供应商承诺书、成交通知书等均称为有法律约束力的合同组成内容</w:t>
      </w:r>
      <w:r>
        <w:rPr>
          <w:rFonts w:hint="default" w:ascii="Times New Roman" w:hAnsi="Times New Roman" w:eastAsia="方正仿宋_GBK" w:cs="Times New Roman"/>
          <w:color w:val="000000"/>
          <w:lang w:eastAsia="zh-CN"/>
        </w:rPr>
        <w:t>。</w:t>
      </w:r>
    </w:p>
    <w:p w14:paraId="6255AAD2">
      <w:pPr>
        <w:pStyle w:val="6"/>
        <w:rPr>
          <w:rFonts w:hint="eastAsia" w:ascii="方正楷体_GBK" w:hAnsi="方正楷体_GBK" w:eastAsia="方正楷体_GBK" w:cs="方正楷体_GBK"/>
          <w:b/>
          <w:bCs/>
          <w:color w:val="000000"/>
        </w:rPr>
      </w:pPr>
      <w:r>
        <w:rPr>
          <w:rFonts w:hint="eastAsia" w:ascii="方正楷体_GBK" w:hAnsi="方正楷体_GBK" w:eastAsia="方正楷体_GBK" w:cs="方正楷体_GBK"/>
          <w:b/>
          <w:bCs/>
          <w:color w:val="000000"/>
        </w:rPr>
        <w:t>16.履行合同</w:t>
      </w:r>
    </w:p>
    <w:p w14:paraId="479B60C7">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16.1 成交供应商与采购人签订合同后，合同双方应严格执行合同条款，履行合同规定的义务，保证合同的顺利完成</w:t>
      </w:r>
      <w:r>
        <w:rPr>
          <w:rFonts w:hint="default" w:ascii="Times New Roman" w:hAnsi="Times New Roman" w:eastAsia="方正仿宋_GBK" w:cs="Times New Roman"/>
          <w:color w:val="000000"/>
          <w:lang w:eastAsia="zh-CN"/>
        </w:rPr>
        <w:t>。</w:t>
      </w:r>
    </w:p>
    <w:p w14:paraId="0B6054EA">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16.2 在合同履行过程中，如发生合同纠纷，合同双方应按照《</w:t>
      </w:r>
      <w:r>
        <w:rPr>
          <w:rFonts w:hint="default" w:ascii="Times New Roman" w:hAnsi="Times New Roman" w:eastAsia="方正仿宋_GBK" w:cs="Times New Roman"/>
          <w:color w:val="000000"/>
          <w:lang w:val="en-US" w:eastAsia="zh-CN"/>
        </w:rPr>
        <w:t>民法典</w:t>
      </w:r>
      <w:r>
        <w:rPr>
          <w:rFonts w:hint="default" w:ascii="Times New Roman" w:hAnsi="Times New Roman" w:eastAsia="方正仿宋_GBK" w:cs="Times New Roman"/>
          <w:color w:val="000000"/>
        </w:rPr>
        <w:t>》的有关规定进行处理</w:t>
      </w:r>
      <w:r>
        <w:rPr>
          <w:rFonts w:hint="default" w:ascii="Times New Roman" w:hAnsi="Times New Roman" w:eastAsia="方正仿宋_GBK" w:cs="Times New Roman"/>
          <w:color w:val="000000"/>
          <w:lang w:eastAsia="zh-CN"/>
        </w:rPr>
        <w:t>。</w:t>
      </w:r>
    </w:p>
    <w:p w14:paraId="340E69C1">
      <w:pPr>
        <w:ind w:firstLine="640"/>
        <w:outlineLvl w:val="1"/>
        <w:rPr>
          <w:rFonts w:hint="eastAsia" w:ascii="方正黑体_GBK" w:hAnsi="方正黑体_GBK" w:eastAsia="方正黑体_GBK" w:cs="方正黑体_GBK"/>
          <w:b w:val="0"/>
          <w:bCs/>
          <w:kern w:val="44"/>
          <w:lang w:val="zh-CN"/>
        </w:rPr>
      </w:pPr>
      <w:bookmarkStart w:id="73" w:name="_Toc35689694"/>
      <w:bookmarkStart w:id="74" w:name="_Toc35683746"/>
      <w:bookmarkStart w:id="75" w:name="_Toc35681785"/>
      <w:r>
        <w:rPr>
          <w:rFonts w:hint="eastAsia" w:ascii="方正黑体_GBK" w:hAnsi="方正黑体_GBK" w:eastAsia="方正黑体_GBK" w:cs="方正黑体_GBK"/>
          <w:b w:val="0"/>
          <w:bCs/>
          <w:kern w:val="44"/>
          <w:lang w:val="en-US" w:eastAsia="zh-CN"/>
        </w:rPr>
        <w:t>七</w:t>
      </w:r>
      <w:r>
        <w:rPr>
          <w:rFonts w:hint="eastAsia" w:ascii="方正黑体_GBK" w:hAnsi="方正黑体_GBK" w:eastAsia="方正黑体_GBK" w:cs="方正黑体_GBK"/>
          <w:b w:val="0"/>
          <w:bCs/>
          <w:kern w:val="44"/>
          <w:lang w:val="zh-CN"/>
        </w:rPr>
        <w:t>、谈判纪律要求</w:t>
      </w:r>
      <w:bookmarkEnd w:id="73"/>
      <w:bookmarkEnd w:id="74"/>
      <w:bookmarkEnd w:id="75"/>
    </w:p>
    <w:p w14:paraId="7E9EC9F1">
      <w:pPr>
        <w:pStyle w:val="6"/>
        <w:rPr>
          <w:rFonts w:hint="eastAsia" w:ascii="方正楷体_GBK" w:hAnsi="方正楷体_GBK" w:eastAsia="方正楷体_GBK" w:cs="方正楷体_GBK"/>
          <w:b/>
          <w:bCs/>
          <w:color w:val="000000"/>
        </w:rPr>
      </w:pPr>
      <w:r>
        <w:rPr>
          <w:rFonts w:hint="eastAsia" w:ascii="方正楷体_GBK" w:hAnsi="方正楷体_GBK" w:eastAsia="方正楷体_GBK" w:cs="方正楷体_GBK"/>
          <w:b/>
          <w:bCs/>
          <w:color w:val="000000"/>
        </w:rPr>
        <w:t>17.供应商不得具有的情形</w:t>
      </w:r>
    </w:p>
    <w:p w14:paraId="2DB2D270">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供应商参加本项目谈判不得有下列情形：</w:t>
      </w:r>
    </w:p>
    <w:p w14:paraId="10E5F79E">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（1）提供虚假材料谋取成交；</w:t>
      </w:r>
    </w:p>
    <w:p w14:paraId="58D13766">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（2）采取不正当手段诋毁、排挤其他供应商；</w:t>
      </w:r>
    </w:p>
    <w:p w14:paraId="308BA9AF">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（3）与采购人、采购代理机构、或其他供应商恶意串通；</w:t>
      </w:r>
    </w:p>
    <w:p w14:paraId="2F662773">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（4）向采购人、谈判小组成员行贿或者提供其他不正当利益；</w:t>
      </w:r>
    </w:p>
    <w:p w14:paraId="7CC0B736">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（5）在谈判过程中与采购人进行协商；</w:t>
      </w:r>
    </w:p>
    <w:p w14:paraId="0FC90066">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（6）成交后无正当理由拒不与采购人签订采购合同；</w:t>
      </w:r>
    </w:p>
    <w:p w14:paraId="5AC2252E">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（7）未按照谈判文件确定的事项签订采购合同；</w:t>
      </w:r>
    </w:p>
    <w:p w14:paraId="13206931">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（8）将采购合同转包或者违规分包；</w:t>
      </w:r>
    </w:p>
    <w:p w14:paraId="3CAC5E20">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（9）提供假冒伪劣产品；</w:t>
      </w:r>
    </w:p>
    <w:p w14:paraId="4BF108BE">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（10）擅自变更、中止或者终止采购合同；</w:t>
      </w:r>
    </w:p>
    <w:p w14:paraId="40399233">
      <w:pPr>
        <w:tabs>
          <w:tab w:val="left" w:pos="7665"/>
        </w:tabs>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（11）拒绝有关部门的监督检查或者向监督检查部门提供虚假情况；</w:t>
      </w:r>
    </w:p>
    <w:p w14:paraId="56D2CED9">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（12）法律法规规定的其他情形</w:t>
      </w:r>
      <w:r>
        <w:rPr>
          <w:rFonts w:hint="default" w:ascii="Times New Roman" w:hAnsi="Times New Roman" w:eastAsia="方正仿宋_GBK" w:cs="Times New Roman"/>
          <w:color w:val="000000"/>
          <w:lang w:eastAsia="zh-CN"/>
        </w:rPr>
        <w:t>。</w:t>
      </w:r>
    </w:p>
    <w:p w14:paraId="7693D602">
      <w:pPr>
        <w:tabs>
          <w:tab w:val="left" w:pos="7665"/>
        </w:tabs>
        <w:ind w:firstLine="64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供应商有上述情形的，按照规定追究法律责任，具备（1）-（10）条情形之一的，同时将取消被确认为成交供应商的资格或者认定成交无效</w:t>
      </w:r>
      <w:r>
        <w:rPr>
          <w:rFonts w:hint="default" w:ascii="Times New Roman" w:hAnsi="Times New Roman" w:eastAsia="方正仿宋_GBK" w:cs="Times New Roman"/>
          <w:color w:val="000000"/>
          <w:lang w:eastAsia="zh-CN"/>
        </w:rPr>
        <w:t>。</w:t>
      </w:r>
    </w:p>
    <w:p w14:paraId="43A22F1F">
      <w:pPr>
        <w:tabs>
          <w:tab w:val="left" w:pos="7665"/>
        </w:tabs>
        <w:ind w:firstLine="640"/>
        <w:rPr>
          <w:rFonts w:hint="default" w:ascii="Times New Roman" w:hAnsi="Times New Roman" w:eastAsia="方正仿宋_GBK" w:cs="Times New Roman"/>
          <w:color w:val="00000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AA51">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F3790">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8E64">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C91B">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3C342">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C4B1">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ODkxYmE2ODQyNGI1YjM5MTU3Y2ZiNDIxNTVjYzUifQ=="/>
    <w:docVar w:name="KSO_WPS_MARK_KEY" w:val="5717ebed-1d4b-4c4b-b67b-4fe5b9df6099"/>
  </w:docVars>
  <w:rsids>
    <w:rsidRoot w:val="112D4F34"/>
    <w:rsid w:val="0005371A"/>
    <w:rsid w:val="000F74D6"/>
    <w:rsid w:val="00165423"/>
    <w:rsid w:val="002F2F07"/>
    <w:rsid w:val="00322263"/>
    <w:rsid w:val="00485EDB"/>
    <w:rsid w:val="004A00AB"/>
    <w:rsid w:val="006A3721"/>
    <w:rsid w:val="006E7CEF"/>
    <w:rsid w:val="007F4BB9"/>
    <w:rsid w:val="00861133"/>
    <w:rsid w:val="00C00DDD"/>
    <w:rsid w:val="00D03B54"/>
    <w:rsid w:val="00DE13F7"/>
    <w:rsid w:val="00E2452E"/>
    <w:rsid w:val="051F457C"/>
    <w:rsid w:val="066D1F72"/>
    <w:rsid w:val="09105067"/>
    <w:rsid w:val="09CE2EF1"/>
    <w:rsid w:val="0BD718E0"/>
    <w:rsid w:val="109D4E6D"/>
    <w:rsid w:val="11245C37"/>
    <w:rsid w:val="112D4F34"/>
    <w:rsid w:val="162E4C93"/>
    <w:rsid w:val="197B5E02"/>
    <w:rsid w:val="1BC1758D"/>
    <w:rsid w:val="1F276E0E"/>
    <w:rsid w:val="21030AA1"/>
    <w:rsid w:val="214116AB"/>
    <w:rsid w:val="219163F1"/>
    <w:rsid w:val="253A49C3"/>
    <w:rsid w:val="279869F3"/>
    <w:rsid w:val="27B34984"/>
    <w:rsid w:val="295E5C4C"/>
    <w:rsid w:val="29FF1A9A"/>
    <w:rsid w:val="2C724E7C"/>
    <w:rsid w:val="3002294D"/>
    <w:rsid w:val="312A26DE"/>
    <w:rsid w:val="31E111D4"/>
    <w:rsid w:val="328F3982"/>
    <w:rsid w:val="32BA5F9E"/>
    <w:rsid w:val="354534EB"/>
    <w:rsid w:val="39A52682"/>
    <w:rsid w:val="39F02CBA"/>
    <w:rsid w:val="3B984165"/>
    <w:rsid w:val="3B9E0E37"/>
    <w:rsid w:val="3BB73F3C"/>
    <w:rsid w:val="3D9B6429"/>
    <w:rsid w:val="3DE020EF"/>
    <w:rsid w:val="3E813420"/>
    <w:rsid w:val="45B60075"/>
    <w:rsid w:val="46295189"/>
    <w:rsid w:val="47AC3672"/>
    <w:rsid w:val="4B1278E9"/>
    <w:rsid w:val="51877CC5"/>
    <w:rsid w:val="51FC4FF6"/>
    <w:rsid w:val="53CD32CC"/>
    <w:rsid w:val="54A9394D"/>
    <w:rsid w:val="5660536D"/>
    <w:rsid w:val="59547BCF"/>
    <w:rsid w:val="595B695F"/>
    <w:rsid w:val="5BD770EB"/>
    <w:rsid w:val="5EB76CF5"/>
    <w:rsid w:val="5F7641BE"/>
    <w:rsid w:val="602A2471"/>
    <w:rsid w:val="62423267"/>
    <w:rsid w:val="6AB15963"/>
    <w:rsid w:val="72BC486A"/>
    <w:rsid w:val="72C13F9C"/>
    <w:rsid w:val="75D90F85"/>
    <w:rsid w:val="7621720D"/>
    <w:rsid w:val="78B17B35"/>
    <w:rsid w:val="7A25146B"/>
    <w:rsid w:val="7C436FA4"/>
    <w:rsid w:val="7DCA15CE"/>
    <w:rsid w:val="7E114337"/>
    <w:rsid w:val="7F14290B"/>
    <w:rsid w:val="7F5E0B0B"/>
    <w:rsid w:val="7F79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560" w:lineRule="exact"/>
      <w:ind w:firstLine="200" w:firstLineChars="200"/>
      <w:jc w:val="both"/>
    </w:pPr>
    <w:rPr>
      <w:rFonts w:ascii="仿宋" w:hAnsi="仿宋" w:eastAsia="仿宋" w:cs="仿宋"/>
      <w:kern w:val="2"/>
      <w:sz w:val="32"/>
      <w:szCs w:val="32"/>
      <w:lang w:val="en-US" w:eastAsia="zh-CN" w:bidi="ar-SA"/>
    </w:rPr>
  </w:style>
  <w:style w:type="paragraph" w:styleId="4">
    <w:name w:val="heading 1"/>
    <w:basedOn w:val="1"/>
    <w:next w:val="1"/>
    <w:autoRedefine/>
    <w:qFormat/>
    <w:uiPriority w:val="0"/>
    <w:pPr>
      <w:keepNext/>
      <w:keepLines/>
      <w:spacing w:line="600" w:lineRule="exact"/>
      <w:outlineLvl w:val="0"/>
    </w:pPr>
    <w:rPr>
      <w:rFonts w:ascii="Arial" w:hAnsi="Arial" w:eastAsia="方正小标宋_GBK"/>
      <w:kern w:val="44"/>
      <w:sz w:val="44"/>
    </w:rPr>
  </w:style>
  <w:style w:type="paragraph" w:styleId="5">
    <w:name w:val="heading 2"/>
    <w:basedOn w:val="1"/>
    <w:next w:val="1"/>
    <w:autoRedefine/>
    <w:semiHidden/>
    <w:unhideWhenUsed/>
    <w:qFormat/>
    <w:uiPriority w:val="0"/>
    <w:pPr>
      <w:keepNext/>
      <w:keepLines/>
      <w:spacing w:before="260" w:after="260" w:line="413" w:lineRule="auto"/>
      <w:outlineLvl w:val="1"/>
    </w:pPr>
    <w:rPr>
      <w:rFonts w:ascii="Arial" w:hAnsi="Arial" w:eastAsia="黑体"/>
      <w:b/>
    </w:rPr>
  </w:style>
  <w:style w:type="paragraph" w:styleId="6">
    <w:name w:val="heading 3"/>
    <w:basedOn w:val="1"/>
    <w:next w:val="2"/>
    <w:autoRedefine/>
    <w:qFormat/>
    <w:uiPriority w:val="0"/>
    <w:pPr>
      <w:keepNext/>
      <w:keepLines/>
      <w:spacing w:before="260" w:after="260" w:line="415" w:lineRule="auto"/>
      <w:outlineLvl w:val="2"/>
    </w:pPr>
    <w:rPr>
      <w:rFonts w:cs="Times New Roman"/>
      <w:b/>
      <w:bCs/>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仿宋" w:hAnsi="仿宋" w:eastAsia="仿宋" w:cs="仿宋"/>
      <w:sz w:val="32"/>
      <w:szCs w:val="32"/>
    </w:rPr>
  </w:style>
  <w:style w:type="paragraph" w:styleId="3">
    <w:name w:val="Body Text"/>
    <w:basedOn w:val="1"/>
    <w:autoRedefine/>
    <w:qFormat/>
    <w:uiPriority w:val="0"/>
    <w:pPr>
      <w:spacing w:after="120"/>
    </w:pPr>
    <w:rPr>
      <w:rFonts w:ascii="Times New Roman" w:hAnsi="Times New Roman" w:eastAsia="宋体" w:cs="Times New Roman"/>
      <w:sz w:val="21"/>
      <w:szCs w:val="24"/>
    </w:rPr>
  </w:style>
  <w:style w:type="paragraph" w:styleId="7">
    <w:name w:val="footer"/>
    <w:basedOn w:val="1"/>
    <w:link w:val="18"/>
    <w:autoRedefine/>
    <w:qFormat/>
    <w:uiPriority w:val="0"/>
    <w:pPr>
      <w:tabs>
        <w:tab w:val="center" w:pos="4153"/>
        <w:tab w:val="right" w:pos="8306"/>
      </w:tabs>
      <w:spacing w:line="240" w:lineRule="atLeast"/>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pacing w:line="240" w:lineRule="atLeast"/>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Title"/>
    <w:basedOn w:val="1"/>
    <w:autoRedefine/>
    <w:qFormat/>
    <w:uiPriority w:val="0"/>
    <w:pPr>
      <w:spacing w:before="240" w:after="60"/>
      <w:jc w:val="center"/>
      <w:outlineLvl w:val="0"/>
    </w:pPr>
    <w:rPr>
      <w:rFonts w:ascii="Arial" w:hAnsi="Arial"/>
      <w:b/>
    </w:rPr>
  </w:style>
  <w:style w:type="paragraph" w:customStyle="1" w:styleId="13">
    <w:name w:val="标题1"/>
    <w:basedOn w:val="4"/>
    <w:next w:val="2"/>
    <w:autoRedefine/>
    <w:qFormat/>
    <w:uiPriority w:val="0"/>
    <w:pPr>
      <w:keepNext w:val="0"/>
      <w:keepLines w:val="0"/>
      <w:spacing w:line="560" w:lineRule="exact"/>
      <w:outlineLvl w:val="1"/>
    </w:pPr>
    <w:rPr>
      <w:rFonts w:ascii="黑体" w:hAnsi="黑体" w:eastAsia="黑体"/>
      <w:sz w:val="32"/>
      <w:lang w:val="zh-CN"/>
    </w:rPr>
  </w:style>
  <w:style w:type="paragraph" w:customStyle="1" w:styleId="1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
    <w:name w:val="font01"/>
    <w:basedOn w:val="12"/>
    <w:autoRedefine/>
    <w:qFormat/>
    <w:uiPriority w:val="0"/>
    <w:rPr>
      <w:rFonts w:ascii="方正仿宋_GBK" w:hAnsi="方正仿宋_GBK" w:eastAsia="方正仿宋_GBK" w:cs="方正仿宋_GBK"/>
      <w:color w:val="000000"/>
      <w:sz w:val="28"/>
      <w:szCs w:val="28"/>
      <w:u w:val="none"/>
    </w:rPr>
  </w:style>
  <w:style w:type="character" w:customStyle="1" w:styleId="16">
    <w:name w:val="font21"/>
    <w:basedOn w:val="12"/>
    <w:autoRedefine/>
    <w:qFormat/>
    <w:uiPriority w:val="0"/>
    <w:rPr>
      <w:rFonts w:hint="eastAsia" w:ascii="仿宋" w:hAnsi="仿宋" w:eastAsia="仿宋" w:cs="仿宋"/>
      <w:color w:val="000000"/>
      <w:sz w:val="28"/>
      <w:szCs w:val="28"/>
      <w:u w:val="none"/>
    </w:rPr>
  </w:style>
  <w:style w:type="character" w:customStyle="1" w:styleId="17">
    <w:name w:val="页眉 Char"/>
    <w:basedOn w:val="12"/>
    <w:link w:val="8"/>
    <w:autoRedefine/>
    <w:qFormat/>
    <w:uiPriority w:val="0"/>
    <w:rPr>
      <w:rFonts w:ascii="仿宋" w:hAnsi="仿宋" w:eastAsia="仿宋" w:cs="仿宋"/>
      <w:kern w:val="2"/>
      <w:sz w:val="18"/>
      <w:szCs w:val="18"/>
    </w:rPr>
  </w:style>
  <w:style w:type="character" w:customStyle="1" w:styleId="18">
    <w:name w:val="页脚 Char"/>
    <w:basedOn w:val="12"/>
    <w:link w:val="7"/>
    <w:autoRedefine/>
    <w:qFormat/>
    <w:uiPriority w:val="0"/>
    <w:rPr>
      <w:rFonts w:ascii="仿宋" w:hAnsi="仿宋" w:eastAsia="仿宋"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719</Words>
  <Characters>780</Characters>
  <Lines>30</Lines>
  <Paragraphs>8</Paragraphs>
  <TotalTime>51</TotalTime>
  <ScaleCrop>false</ScaleCrop>
  <LinksUpToDate>false</LinksUpToDate>
  <CharactersWithSpaces>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2021-07-05T03:40:00Z</dcterms:created>
  <dc:creator>福禄娃</dc:creator>
  <cp:lastModifiedBy>房锐</cp:lastModifiedBy>
  <dcterms:modified xsi:type="dcterms:W3CDTF">2025-07-01T09:45:34Z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E0FB5BFB91004940A5DDCDEB6F8AE477</vt:lpwstr>
  </property>
  <property fmtid="{D5CDD505-2E9C-101B-9397-08002B2CF9AE}" pid="4" name="KSOSaveFontToCloudKey">
    <vt:lpwstr>903946962_btnclosed</vt:lpwstr>
  </property>
  <property fmtid="{D5CDD505-2E9C-101B-9397-08002B2CF9AE}" pid="5" name="KSOTemplateDocerSaveRecord">
    <vt:lpwstr>eyJoZGlkIjoiNmE5ODkxYmE2ODQyNGI1YjM5MTU3Y2ZiNDIxNTVjYzUiLCJ1c2VySWQiOiIxNDU4NDU3OTk5In0=</vt:lpwstr>
  </property>
</Properties>
</file>