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85</w:t>
      </w:r>
    </w:p>
    <w:p>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国投大厦户外和四楼接待前厅改造工程材料综合采购项目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lang w:val="en-US" w:eastAsia="zh-CN"/>
        </w:rPr>
        <w:t>5</w:t>
      </w:r>
      <w:r>
        <w:rPr>
          <w:rFonts w:ascii="Times New Roman" w:hAnsi="Times New Roman"/>
          <w:b/>
          <w:sz w:val="28"/>
          <w:szCs w:val="28"/>
        </w:rPr>
        <w:t>年</w:t>
      </w:r>
      <w:r>
        <w:rPr>
          <w:rFonts w:hint="eastAsia" w:ascii="Times New Roman" w:hAnsi="Times New Roman"/>
          <w:b/>
          <w:sz w:val="28"/>
          <w:szCs w:val="28"/>
          <w:lang w:val="en-US" w:eastAsia="zh-CN"/>
        </w:rPr>
        <w:t>1</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国投大厦户外和四楼接待前厅改造工程材料综合采购项目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85</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国投大厦户外和四楼接待前厅改造工程材料综合采购项目。</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lang w:val="en-US" w:eastAsia="zh-CN"/>
        </w:rPr>
      </w:pPr>
      <w:r>
        <w:rPr>
          <w:rFonts w:hint="eastAsia" w:ascii="Times New Roman" w:hAnsi="Times New Roman"/>
          <w:color w:val="auto"/>
          <w:sz w:val="24"/>
          <w:u w:val="single"/>
          <w:lang w:val="en-US" w:eastAsia="zh-CN"/>
        </w:rPr>
        <w:t>最高限价：本次询价最高限价为11.9万元</w:t>
      </w:r>
      <w:r>
        <w:rPr>
          <w:rFonts w:hint="eastAsia" w:ascii="Times New Roman" w:hAnsi="Times New Roman"/>
          <w:color w:val="auto"/>
          <w:sz w:val="24"/>
          <w:u w:val="single"/>
          <w:lang w:val="en-US" w:eastAsia="zh-CN"/>
        </w:rPr>
        <w:t>(含税)，以每种材料单价进行询价，以实际交货数量进行结算。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三线大道118号2栋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本次装修改造内容主要为配套大厦功能需求</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7</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lang w:val="en-US" w:eastAsia="zh-CN"/>
        </w:rPr>
        <w:t>2</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highlight w:val="none"/>
        </w:rPr>
      </w:pPr>
      <w:r>
        <w:rPr>
          <w:rFonts w:hint="eastAsia" w:ascii="Times New Roman" w:hAnsi="Times New Roman"/>
          <w:sz w:val="24"/>
          <w:highlight w:val="none"/>
        </w:rPr>
        <w:t>询价资格预审</w:t>
      </w:r>
      <w:r>
        <w:rPr>
          <w:rFonts w:ascii="Times New Roman" w:hAnsi="Times New Roman"/>
          <w:sz w:val="24"/>
          <w:highlight w:val="none"/>
        </w:rPr>
        <w:t>文</w:t>
      </w:r>
      <w:r>
        <w:rPr>
          <w:rFonts w:ascii="Times New Roman" w:hAnsi="Times New Roman"/>
          <w:color w:val="auto"/>
          <w:sz w:val="24"/>
          <w:highlight w:val="none"/>
        </w:rPr>
        <w:t>件自</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1</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15</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09</w:t>
      </w:r>
      <w:r>
        <w:rPr>
          <w:rFonts w:hint="eastAsia" w:ascii="Times New Roman" w:hAnsi="Times New Roman"/>
          <w:color w:val="auto"/>
          <w:sz w:val="24"/>
          <w:highlight w:val="none"/>
          <w:u w:val="single"/>
        </w:rPr>
        <w:t>:00至202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1</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17</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16</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ascii="Times New Roman" w:hAnsi="Times New Roman"/>
          <w:color w:val="auto"/>
          <w:sz w:val="24"/>
          <w:szCs w:val="28"/>
          <w:highlight w:val="none"/>
        </w:rPr>
        <w:t>（北京时间）</w:t>
      </w:r>
      <w:r>
        <w:rPr>
          <w:rFonts w:ascii="Times New Roman" w:hAnsi="Times New Roman"/>
          <w:color w:val="auto"/>
          <w:sz w:val="24"/>
          <w:highlight w:val="none"/>
        </w:rPr>
        <w:t>在</w:t>
      </w:r>
      <w:r>
        <w:rPr>
          <w:rFonts w:hint="eastAsia" w:ascii="Times New Roman" w:hAnsi="Times New Roman"/>
          <w:color w:val="auto"/>
          <w:sz w:val="24"/>
          <w:highlight w:val="none"/>
          <w:u w:val="single"/>
        </w:rPr>
        <w:t>攀枝花市国有投资（集团）有限责任公司官网</w:t>
      </w:r>
      <w:r>
        <w:rPr>
          <w:rFonts w:ascii="Times New Roman" w:hAnsi="Times New Roman"/>
          <w:color w:val="auto"/>
          <w:sz w:val="24"/>
          <w:highlight w:val="none"/>
          <w:u w:val="single"/>
        </w:rPr>
        <w:t>（http://www.pzhguotou.com）</w:t>
      </w:r>
      <w:r>
        <w:rPr>
          <w:rFonts w:ascii="Times New Roman" w:hAnsi="Times New Roman"/>
          <w:color w:val="auto"/>
          <w:sz w:val="24"/>
          <w:szCs w:val="28"/>
          <w:highlight w:val="none"/>
          <w:u w:val="single"/>
        </w:rPr>
        <w:t>，</w:t>
      </w:r>
      <w:r>
        <w:rPr>
          <w:rFonts w:ascii="Times New Roman" w:hAnsi="Times New Roman"/>
          <w:color w:val="auto"/>
          <w:sz w:val="24"/>
          <w:highlight w:val="none"/>
        </w:rPr>
        <w:t>按照流程获取。</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szCs w:val="18"/>
          <w:highlight w:val="none"/>
        </w:rPr>
        <w:t>本项目</w:t>
      </w:r>
      <w:r>
        <w:rPr>
          <w:rFonts w:hint="eastAsia" w:ascii="Times New Roman" w:hAnsi="Times New Roman"/>
          <w:color w:val="auto"/>
          <w:sz w:val="24"/>
          <w:szCs w:val="18"/>
          <w:highlight w:val="none"/>
        </w:rPr>
        <w:t>询价资格预审</w:t>
      </w:r>
      <w:r>
        <w:rPr>
          <w:rFonts w:ascii="Times New Roman" w:hAnsi="Times New Roman"/>
          <w:color w:val="auto"/>
          <w:sz w:val="24"/>
          <w:szCs w:val="18"/>
          <w:highlight w:val="none"/>
        </w:rPr>
        <w:t>文件费用：</w:t>
      </w:r>
      <w:r>
        <w:rPr>
          <w:rFonts w:hint="eastAsia" w:ascii="Times New Roman" w:hAnsi="Times New Roman"/>
          <w:color w:val="auto"/>
          <w:sz w:val="24"/>
          <w:highlight w:val="none"/>
        </w:rPr>
        <w:t>本次不收取资格预审文件费用</w:t>
      </w:r>
      <w:r>
        <w:rPr>
          <w:rFonts w:ascii="Times New Roman" w:hAnsi="Times New Roman"/>
          <w:color w:val="auto"/>
          <w:sz w:val="24"/>
          <w:highlight w:val="none"/>
        </w:rPr>
        <w:t>。</w:t>
      </w:r>
    </w:p>
    <w:p>
      <w:pPr>
        <w:spacing w:line="360" w:lineRule="auto"/>
        <w:ind w:firstLine="482" w:firstLineChars="200"/>
        <w:rPr>
          <w:rFonts w:ascii="Times New Roman" w:hAnsi="Times New Roman"/>
          <w:sz w:val="24"/>
          <w:szCs w:val="28"/>
          <w:highlight w:val="none"/>
        </w:rPr>
      </w:pPr>
      <w:r>
        <w:rPr>
          <w:rFonts w:hint="eastAsia" w:ascii="Times New Roman" w:hAnsi="Times New Roman"/>
          <w:b/>
          <w:color w:val="auto"/>
          <w:sz w:val="24"/>
          <w:szCs w:val="28"/>
          <w:highlight w:val="none"/>
        </w:rPr>
        <w:t>七</w:t>
      </w:r>
      <w:r>
        <w:rPr>
          <w:rFonts w:ascii="Times New Roman" w:hAnsi="Times New Roman"/>
          <w:b/>
          <w:color w:val="auto"/>
          <w:sz w:val="24"/>
          <w:szCs w:val="28"/>
          <w:highlight w:val="none"/>
        </w:rPr>
        <w:t>、递交</w:t>
      </w:r>
      <w:r>
        <w:rPr>
          <w:rFonts w:hint="eastAsia" w:ascii="Times New Roman" w:hAnsi="Times New Roman"/>
          <w:b/>
          <w:color w:val="auto"/>
          <w:sz w:val="24"/>
          <w:szCs w:val="28"/>
          <w:highlight w:val="none"/>
        </w:rPr>
        <w:t>资格预审申请文件</w:t>
      </w:r>
      <w:r>
        <w:rPr>
          <w:rFonts w:ascii="Times New Roman" w:hAnsi="Times New Roman"/>
          <w:b/>
          <w:color w:val="auto"/>
          <w:sz w:val="24"/>
          <w:highlight w:val="none"/>
        </w:rPr>
        <w:t>截止时间</w:t>
      </w:r>
      <w:r>
        <w:rPr>
          <w:rFonts w:ascii="Times New Roman" w:hAnsi="Times New Roman"/>
          <w:b w:val="0"/>
          <w:bCs/>
          <w:color w:val="auto"/>
          <w:sz w:val="24"/>
          <w:highlight w:val="none"/>
        </w:rPr>
        <w:t>：</w:t>
      </w:r>
      <w:r>
        <w:rPr>
          <w:rFonts w:hint="eastAsia"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5</w:t>
      </w:r>
      <w:r>
        <w:rPr>
          <w:rFonts w:hint="eastAsia"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1</w:t>
      </w:r>
      <w:r>
        <w:rPr>
          <w:rFonts w:hint="eastAsia"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17</w:t>
      </w:r>
      <w:r>
        <w:rPr>
          <w:rFonts w:hint="eastAsia"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16</w:t>
      </w:r>
      <w:r>
        <w:rPr>
          <w:rFonts w:hint="eastAsia"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00</w:t>
      </w:r>
      <w:r>
        <w:rPr>
          <w:rFonts w:hint="eastAsia" w:ascii="Times New Roman" w:hAnsi="Times New Roman"/>
          <w:color w:val="auto"/>
          <w:sz w:val="24"/>
          <w:highlight w:val="none"/>
          <w:u w:val="none"/>
        </w:rPr>
        <w:t>（</w:t>
      </w:r>
      <w:r>
        <w:rPr>
          <w:rFonts w:ascii="Times New Roman" w:hAnsi="Times New Roman"/>
          <w:color w:val="auto"/>
          <w:sz w:val="24"/>
          <w:szCs w:val="28"/>
          <w:highlight w:val="none"/>
        </w:rPr>
        <w:t>北京</w:t>
      </w:r>
      <w:r>
        <w:rPr>
          <w:rFonts w:ascii="Times New Roman" w:hAnsi="Times New Roman"/>
          <w:sz w:val="24"/>
          <w:szCs w:val="28"/>
          <w:highlight w:val="none"/>
        </w:rPr>
        <w:t>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lang w:val="en-US" w:eastAsia="zh-CN"/>
              </w:rPr>
              <w:t>本次询价最高限价为11.9万元</w:t>
            </w:r>
            <w:r>
              <w:rPr>
                <w:rFonts w:hint="eastAsia" w:ascii="Times New Roman" w:hAnsi="Times New Roman"/>
                <w:b/>
                <w:bCs/>
                <w:color w:val="auto"/>
                <w:sz w:val="24"/>
                <w:u w:val="single"/>
                <w:lang w:val="en-US" w:eastAsia="zh-CN"/>
              </w:rPr>
              <w:t>(含税)，以每</w:t>
            </w:r>
            <w:r>
              <w:rPr>
                <w:rFonts w:hint="eastAsia" w:ascii="Times New Roman" w:hAnsi="Times New Roman"/>
                <w:b/>
                <w:bCs/>
                <w:color w:val="auto"/>
                <w:sz w:val="24"/>
                <w:u w:val="single"/>
              </w:rPr>
              <w:t>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682369"/>
      <w:bookmarkStart w:id="46" w:name="_Toc183582232"/>
      <w:bookmarkStart w:id="47" w:name="_Toc217446057"/>
      <w:r>
        <w:rPr>
          <w:rFonts w:hint="eastAsia" w:ascii="宋体" w:hAnsi="宋体"/>
          <w:sz w:val="24"/>
        </w:rPr>
        <w:t>1、需求清单</w:t>
      </w:r>
    </w:p>
    <w:tbl>
      <w:tblPr>
        <w:tblW w:w="10245"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4"/>
        <w:gridCol w:w="2321"/>
        <w:gridCol w:w="1316"/>
        <w:gridCol w:w="699"/>
        <w:gridCol w:w="969"/>
        <w:gridCol w:w="1243"/>
        <w:gridCol w:w="1336"/>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245"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国投大厦户外和四楼接待前厅改造工程材料综合采购项目--报价清单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材料名称</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不含税单价（元）</w:t>
            </w: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小计（元）</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LED线性灯(防水型)</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防水型LED灯带驱动(室外)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LED贴片光源(室内)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LED贴片光源驱动(室内)</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 磁吸轨道</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9W磁吸光源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磁吸灯电源</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室内筒灯(可调角度)</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防水型地灯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IP68防水等级、9W</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劳伦丝金岩板墙面</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罗马金洞岩板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灰色岩板砖</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19.44</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喷泉专用潜水泵</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7.5kw/380v</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户外灯罩</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长度3m，周长65cm.</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含定制费用、运费、包装费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不锈钢定制花箱</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厚度1.2mm，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材质。</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每套花箱包含3个，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尺寸：1.2m×1.2m×0.8m(1个)，1.2m×1.2m×0.6m(2个)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含运费、包装费等到场所有费用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LED涌泉灯</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防水型6w</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涌泉喷头</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6分内丝带阀</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321"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LED涌泉灯防水驱动器</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200w/24v</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1层户外墙面定制logo+字(钛金)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“国投大厦”(含安装费)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4层电梯厅、接待厅定制logo+字(钛金)</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“攀枝花国投集团”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定制不锈钢排烟烟道(含弯头、风口)</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厚度1.2mm，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201材质。</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具体做法依据现场施工条件定制(含安装费)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4层定制吧台(木制)</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18mm厚</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详见设计图纸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4层定制吧台灰色岩板</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9mm厚</w:t>
            </w: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详见设计图纸含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不含税总价：</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8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bdr w:val="none" w:color="auto" w:sz="0" w:space="0"/>
                <w:lang w:val="en-US" w:eastAsia="zh-CN" w:bidi="ar"/>
              </w:rPr>
              <w:t>合计：</w:t>
            </w:r>
          </w:p>
        </w:tc>
        <w:tc>
          <w:tcPr>
            <w:tcW w:w="740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合计：不含税总价：</w:t>
            </w:r>
            <w:r>
              <w:rPr>
                <w:rFonts w:hint="eastAsia" w:ascii="微软雅黑" w:hAnsi="微软雅黑" w:eastAsia="微软雅黑" w:cs="微软雅黑"/>
                <w:b/>
                <w:bCs/>
                <w:i w:val="0"/>
                <w:iCs w:val="0"/>
                <w:color w:val="000000"/>
                <w:kern w:val="0"/>
                <w:sz w:val="20"/>
                <w:szCs w:val="20"/>
                <w:u w:val="single"/>
                <w:bdr w:val="none" w:color="auto" w:sz="0" w:space="0"/>
                <w:lang w:val="en-US" w:eastAsia="zh-CN" w:bidi="ar"/>
              </w:rPr>
              <w:t xml:space="preserve">               </w:t>
            </w: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元；税率</w:t>
            </w:r>
            <w:r>
              <w:rPr>
                <w:rFonts w:hint="eastAsia" w:ascii="微软雅黑" w:hAnsi="微软雅黑" w:eastAsia="微软雅黑" w:cs="微软雅黑"/>
                <w:b/>
                <w:bCs/>
                <w:i w:val="0"/>
                <w:iCs w:val="0"/>
                <w:color w:val="000000"/>
                <w:kern w:val="0"/>
                <w:sz w:val="20"/>
                <w:szCs w:val="20"/>
                <w:u w:val="single"/>
                <w:bdr w:val="none" w:color="auto" w:sz="0" w:space="0"/>
                <w:lang w:val="en-US" w:eastAsia="zh-CN" w:bidi="ar"/>
              </w:rPr>
              <w:t xml:space="preserve">       </w:t>
            </w: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%，含税总价</w:t>
            </w:r>
            <w:r>
              <w:rPr>
                <w:rFonts w:hint="eastAsia" w:ascii="微软雅黑" w:hAnsi="微软雅黑" w:eastAsia="微软雅黑" w:cs="微软雅黑"/>
                <w:b/>
                <w:bCs/>
                <w:i w:val="0"/>
                <w:iCs w:val="0"/>
                <w:color w:val="000000"/>
                <w:kern w:val="0"/>
                <w:sz w:val="20"/>
                <w:szCs w:val="20"/>
                <w:u w:val="single"/>
                <w:bdr w:val="none" w:color="auto" w:sz="0" w:space="0"/>
                <w:lang w:val="en-US" w:eastAsia="zh-CN" w:bidi="ar"/>
              </w:rPr>
              <w:t xml:space="preserve">                      </w:t>
            </w: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元。</w:t>
            </w: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br w:type="textWrapping"/>
            </w: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24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 xml:space="preserve">        报价单位：</w:t>
            </w: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3564302"/>
      <w:bookmarkStart w:id="52" w:name="_Toc11764033"/>
      <w:bookmarkStart w:id="53" w:name="_Toc96446261"/>
      <w:bookmarkStart w:id="54" w:name="_Toc94345768"/>
      <w:bookmarkStart w:id="55" w:name="_Toc11832144"/>
      <w:bookmarkStart w:id="56" w:name="_Toc96761122"/>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lang w:val="en-US" w:eastAsia="zh-CN"/>
        </w:rPr>
        <w:t>2</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245"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2321"/>
        <w:gridCol w:w="1316"/>
        <w:gridCol w:w="699"/>
        <w:gridCol w:w="969"/>
        <w:gridCol w:w="1243"/>
        <w:gridCol w:w="1336"/>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24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国投大厦户外和四楼接待前厅改造工程材料综合采购项目--报价清单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LED线性灯(防水型)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防水型LED灯带驱动(室外)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LED贴片光源(室内)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LED贴片光源驱动(室内)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磁吸轨道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9W磁吸光源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磁吸灯电源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室内筒灯(可调角度)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防水型地灯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IP68防水等级、9W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劳伦丝金岩板墙面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罗马金洞岩板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灰色岩板砖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喷泉专用潜水泵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7.5kw/380v</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户外灯罩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长度3m，周长65cm.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含定制费用、运费、包装费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不锈钢定制花箱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每套花箱包含3个，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尺寸：1.2m×1.2m×0.8m(1个)，1.2m×1.2m×0.6m(2个)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含运费、包装费等到场所有费用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LED涌泉灯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防水型6w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涌泉喷头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6分内丝带阀</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2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LED涌泉灯防水驱动器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200w/24v</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1层户外墙面定制logo+字(钛金)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“国投大厦”(含安装费)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4层电梯厅、接待厅定制logo+字(钛金)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“攀枝花国投集团”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定制不锈钢排烟烟道(含弯头、风口)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201材质。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具体做法依据现场施工条件定制(含安装费)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4层定制吧台(木制)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18mm厚</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4层定制吧台灰色岩板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9mm厚</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详见设计图纸含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7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合计：不含税总价：</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元；税率</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%，含税总价</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元。</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报价单位：</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w:t>
            </w:r>
            <w:r>
              <w:rPr>
                <w:rFonts w:hint="eastAsia" w:ascii="Times New Roman" w:hAnsi="Times New Roman"/>
                <w:szCs w:val="21"/>
                <w:lang w:eastAsia="zh-CN"/>
              </w:rPr>
              <w:t>2022</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tbl>
      <w:tblPr>
        <w:tblStyle w:val="18"/>
        <w:tblpPr w:leftFromText="180" w:rightFromText="180" w:vertAnchor="text" w:horzAnchor="page" w:tblpX="1271" w:tblpY="659"/>
        <w:tblOverlap w:val="never"/>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评分</w:t>
            </w:r>
          </w:p>
          <w:p>
            <w:pPr>
              <w:jc w:val="center"/>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color w:val="auto"/>
              </w:rPr>
            </w:pPr>
            <w:r>
              <w:rPr>
                <w:rFonts w:hint="eastAsia"/>
                <w:b/>
                <w:bCs/>
                <w:color w:val="auto"/>
              </w:rPr>
              <w:t>分值（</w:t>
            </w:r>
            <w:r>
              <w:rPr>
                <w:rFonts w:hint="eastAsia" w:ascii="Times New Roman"/>
                <w:b/>
                <w:bCs/>
                <w:color w:val="auto"/>
              </w:rPr>
              <w:t>分</w:t>
            </w:r>
            <w:r>
              <w:rPr>
                <w:rFonts w:hint="eastAsia"/>
                <w:b/>
                <w:bCs/>
                <w:color w:val="auto"/>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color w:val="auto"/>
                <w:highlight w:val="yellow"/>
                <w:lang w:val="en-US" w:eastAsia="zh-CN"/>
              </w:rPr>
            </w:pPr>
            <w:r>
              <w:rPr>
                <w:rFonts w:hint="eastAsia"/>
                <w:color w:val="auto"/>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color w:val="auto"/>
                <w:highlight w:val="yellow"/>
                <w:lang w:val="en-US" w:eastAsia="zh-CN"/>
              </w:rPr>
            </w:pPr>
            <w:r>
              <w:rPr>
                <w:rFonts w:hint="eastAsia"/>
                <w:color w:val="auto"/>
              </w:rPr>
              <w:t>价格分统一采用低价优先法计算，即满足</w:t>
            </w:r>
            <w:r>
              <w:rPr>
                <w:rFonts w:hint="eastAsia"/>
                <w:color w:val="auto"/>
                <w:lang w:eastAsia="zh-CN"/>
              </w:rPr>
              <w:t>询价</w:t>
            </w:r>
            <w:r>
              <w:rPr>
                <w:rFonts w:hint="eastAsia"/>
                <w:color w:val="auto"/>
              </w:rPr>
              <w:t>文件要求且最后报价最低的报价为</w:t>
            </w:r>
            <w:r>
              <w:rPr>
                <w:rFonts w:hint="eastAsia"/>
                <w:color w:val="auto"/>
                <w:lang w:eastAsia="zh-CN"/>
              </w:rPr>
              <w:t>询价</w:t>
            </w:r>
            <w:r>
              <w:rPr>
                <w:rFonts w:hint="eastAsia"/>
                <w:color w:val="auto"/>
              </w:rPr>
              <w:t>基准价，其价格分为满分。其他供应商的价格分统一按照下列公式计算：</w:t>
            </w:r>
            <w:r>
              <w:rPr>
                <w:rFonts w:hint="eastAsia"/>
                <w:b/>
                <w:bCs/>
                <w:color w:val="auto"/>
              </w:rPr>
              <w:t>报价得分=(</w:t>
            </w:r>
            <w:r>
              <w:rPr>
                <w:rFonts w:hint="eastAsia"/>
                <w:b/>
                <w:bCs/>
                <w:color w:val="auto"/>
                <w:lang w:eastAsia="zh-CN"/>
              </w:rPr>
              <w:t>询价</w:t>
            </w:r>
            <w:r>
              <w:rPr>
                <w:rFonts w:hint="eastAsia"/>
                <w:b/>
                <w:bCs/>
                <w:color w:val="auto"/>
              </w:rPr>
              <w:t>基准价／最后报价)×</w:t>
            </w:r>
            <w:r>
              <w:rPr>
                <w:rFonts w:hint="eastAsia"/>
                <w:b/>
                <w:bCs/>
                <w:color w:val="auto"/>
                <w:lang w:val="en-US" w:eastAsia="zh-CN"/>
              </w:rPr>
              <w:t>标准分</w:t>
            </w:r>
            <w:r>
              <w:rPr>
                <w:rFonts w:hint="eastAsia"/>
                <w:b/>
                <w:bCs/>
                <w:color w:val="auto"/>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color w:val="auto"/>
              </w:rPr>
            </w:pPr>
            <w:r>
              <w:rPr>
                <w:rFonts w:hint="eastAsia"/>
                <w:color w:val="auto"/>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color w:val="auto"/>
              </w:rPr>
            </w:pPr>
            <w:r>
              <w:rPr>
                <w:rFonts w:hint="eastAsia"/>
                <w:color w:val="auto"/>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color w:val="auto"/>
                <w:lang w:val="en-US" w:eastAsia="zh-CN"/>
              </w:rPr>
            </w:pPr>
            <w:r>
              <w:rPr>
                <w:rFonts w:hint="eastAsia"/>
                <w:color w:val="auto"/>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color w:val="auto"/>
              </w:rPr>
            </w:pPr>
            <w:r>
              <w:rPr>
                <w:rFonts w:hint="eastAsia" w:ascii="Times New Roman"/>
                <w:color w:val="auto"/>
              </w:rPr>
              <w:t>根据投标人拟定的供货组织工作包括：（1）提供产品质量依据；（2）提供供货速度承诺；（3）售后服务措施；（4）供货商的信誉和资质；（5）服务保证措施；（6）应急服务措施。</w:t>
            </w:r>
            <w:r>
              <w:rPr>
                <w:rFonts w:hint="eastAsia"/>
                <w:color w:val="auto"/>
              </w:rPr>
              <w:t>本评分项按照总分10分制评分，</w:t>
            </w:r>
            <w:r>
              <w:rPr>
                <w:rFonts w:hint="eastAsia"/>
                <w:color w:val="auto"/>
                <w:lang w:val="en-US" w:eastAsia="zh-CN"/>
              </w:rPr>
              <w:t>全部内容</w:t>
            </w:r>
            <w:r>
              <w:rPr>
                <w:rFonts w:hint="eastAsia"/>
                <w:color w:val="auto"/>
              </w:rPr>
              <w:t>未提供不得分；</w:t>
            </w:r>
            <w:r>
              <w:rPr>
                <w:rFonts w:hint="eastAsia"/>
                <w:color w:val="auto"/>
                <w:lang w:val="en-US" w:eastAsia="zh-CN"/>
              </w:rPr>
              <w:t>部分提供或全部提供则对</w:t>
            </w:r>
            <w:r>
              <w:rPr>
                <w:rFonts w:hint="eastAsia"/>
                <w:color w:val="auto"/>
              </w:rPr>
              <w:t>响应内容评分</w:t>
            </w:r>
            <w:r>
              <w:rPr>
                <w:rFonts w:hint="eastAsia"/>
                <w:color w:val="auto"/>
                <w:lang w:val="en-US" w:eastAsia="zh-CN"/>
              </w:rPr>
              <w:t>进行评分，评分</w:t>
            </w:r>
            <w:r>
              <w:rPr>
                <w:rFonts w:hint="eastAsia"/>
                <w:color w:val="auto"/>
              </w:rPr>
              <w:t>为差4分，较差5分，合格[6，6.5]分，中(6.5,7.5]分,良好(7.5,8.5]分,优良(8.5,9.5]分，优(9.5,10]分，区间评分步长为0.1分。本评分项的权重分值</w:t>
            </w:r>
            <w:r>
              <w:rPr>
                <w:rFonts w:hint="eastAsia"/>
                <w:color w:val="auto"/>
                <w:lang w:val="en-US" w:eastAsia="zh-CN"/>
              </w:rPr>
              <w:t>40</w:t>
            </w:r>
            <w:r>
              <w:rPr>
                <w:rFonts w:hint="eastAsia"/>
                <w:color w:val="auto"/>
              </w:rPr>
              <w:t>分，本评分项的最终权重得分=（10分制评分/10）*权重分值。</w:t>
            </w:r>
          </w:p>
          <w:p>
            <w:pPr>
              <w:numPr>
                <w:ilvl w:val="0"/>
                <w:numId w:val="2"/>
              </w:numPr>
              <w:spacing w:line="480" w:lineRule="exact"/>
              <w:rPr>
                <w:rFonts w:hint="eastAsia"/>
                <w:color w:val="auto"/>
              </w:rPr>
            </w:pPr>
            <w:r>
              <w:rPr>
                <w:rFonts w:hint="eastAsia" w:ascii="Times New Roman"/>
                <w:color w:val="auto"/>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ascii="Calibri" w:hAnsi="Calibri" w:eastAsia="宋体" w:cs="Times New Roman"/>
                <w:color w:val="auto"/>
                <w:kern w:val="2"/>
                <w:sz w:val="21"/>
                <w:szCs w:val="24"/>
                <w:highlight w:val="none"/>
                <w:lang w:val="en-US" w:eastAsia="zh-CN" w:bidi="ar-SA"/>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rPr>
            </w:pPr>
          </w:p>
        </w:tc>
      </w:tr>
    </w:tbl>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国投大厦户外和四楼接待前厅改造工程材料综合采购项目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w:t>
      </w:r>
      <w:r>
        <w:rPr>
          <w:rFonts w:hint="eastAsia" w:ascii="Times New Roman" w:hAnsi="Times New Roman"/>
          <w:spacing w:val="-4"/>
          <w:sz w:val="24"/>
          <w:u w:val="single"/>
          <w:lang w:val="en-US" w:eastAsia="zh-CN"/>
        </w:rPr>
        <w:t xml:space="preserve">  </w:t>
      </w:r>
      <w:r>
        <w:rPr>
          <w:rFonts w:hint="eastAsia" w:ascii="宋体" w:hAnsi="宋体"/>
          <w:sz w:val="24"/>
          <w:u w:val="single"/>
          <w:lang w:val="en-US" w:eastAsia="zh-CN"/>
        </w:rPr>
        <w:t xml:space="preserve">国投大厦户外和四楼接待前厅改造工程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eastAsia" w:ascii="宋体" w:hAnsi="宋体"/>
          <w:sz w:val="24"/>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numPr>
          <w:ilvl w:val="0"/>
          <w:numId w:val="0"/>
        </w:numPr>
        <w:spacing w:line="360" w:lineRule="auto"/>
        <w:jc w:val="left"/>
        <w:rPr>
          <w:rFonts w:hint="eastAsia" w:ascii="宋体" w:hAnsi="宋体"/>
          <w:sz w:val="24"/>
          <w:u w:val="single"/>
        </w:rPr>
      </w:pPr>
      <w:r>
        <w:rPr>
          <w:rFonts w:hint="eastAsia" w:ascii="宋体" w:hAnsi="宋体"/>
          <w:sz w:val="24"/>
        </w:rPr>
        <w:t>双方其他约定</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 xml:space="preserve">   </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lang w:eastAsia="zh-CN"/>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245"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2321"/>
        <w:gridCol w:w="1316"/>
        <w:gridCol w:w="699"/>
        <w:gridCol w:w="969"/>
        <w:gridCol w:w="1243"/>
        <w:gridCol w:w="1336"/>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24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国投大厦户外和四楼接待前厅改造工程材料综合采购项目--报价清单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不含税单价（元）</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LED线性灯(防水型)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防水型LED灯带驱动(室外)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外墙立面、水池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LED贴片光源(室内)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LED贴片光源驱动(室内)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磁吸轨道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9W磁吸光源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磁吸灯电源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满足设计要求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室内筒灯(可调角度)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防水型地灯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IP68防水等级、9W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劳伦丝金岩板墙面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罗马金洞岩板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灰色岩板砖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900×1800mm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喷泉专用潜水泵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7.5kw/380v</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户外灯罩</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长度3m，周长65cm.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含定制费用、运费、包装费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不锈钢定制花箱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每套花箱包含3个，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尺寸：1.2m×1.2m×0.8m(1个)，1.2m×1.2m×0.6m(2个)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含运费、包装费等到场所有费用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LED涌泉灯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防水型6w</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涌泉喷头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6分内丝带阀</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2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LED涌泉灯防水驱动器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200w/24v</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1层户外墙面定制logo+字(钛金)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“国投大厦”(含安装费)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4层电梯厅、接待厅定制logo+字(钛金)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“攀枝花国投集团”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定制不锈钢排烟烟道(含弯头、风口)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201材质。</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具体做法依据现场施工条件定制(含安装费)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4层定制吧台(木制)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18mm厚</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4层定制吧台灰色岩板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9mm厚</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详见设计图纸含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7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合计：不含税总价：</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元；税率</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%，含税总价</w:t>
            </w:r>
            <w:r>
              <w:rPr>
                <w:rFonts w:hint="eastAsia" w:ascii="微软雅黑" w:hAnsi="微软雅黑" w:eastAsia="微软雅黑" w:cs="微软雅黑"/>
                <w:b/>
                <w:bCs/>
                <w:i w:val="0"/>
                <w:iCs w:val="0"/>
                <w:color w:val="000000"/>
                <w:kern w:val="0"/>
                <w:sz w:val="20"/>
                <w:szCs w:val="20"/>
                <w:u w:val="single"/>
                <w:lang w:val="en-US" w:eastAsia="zh-CN" w:bidi="ar"/>
              </w:rPr>
              <w:t xml:space="preserve">                      </w:t>
            </w:r>
            <w:r>
              <w:rPr>
                <w:rFonts w:hint="eastAsia" w:ascii="微软雅黑" w:hAnsi="微软雅黑" w:eastAsia="微软雅黑" w:cs="微软雅黑"/>
                <w:b/>
                <w:bCs/>
                <w:i w:val="0"/>
                <w:iCs w:val="0"/>
                <w:color w:val="000000"/>
                <w:kern w:val="0"/>
                <w:sz w:val="20"/>
                <w:szCs w:val="20"/>
                <w:u w:val="none"/>
                <w:lang w:val="en-US" w:eastAsia="zh-CN" w:bidi="ar"/>
              </w:rPr>
              <w:t>元。</w:t>
            </w:r>
            <w:r>
              <w:rPr>
                <w:rFonts w:hint="eastAsia" w:ascii="微软雅黑" w:hAnsi="微软雅黑" w:eastAsia="微软雅黑" w:cs="微软雅黑"/>
                <w:b/>
                <w:bCs/>
                <w:i w:val="0"/>
                <w:iCs w:val="0"/>
                <w:color w:val="000000"/>
                <w:kern w:val="0"/>
                <w:sz w:val="20"/>
                <w:szCs w:val="20"/>
                <w:u w:val="none"/>
                <w:lang w:val="en-US" w:eastAsia="zh-CN" w:bidi="ar"/>
              </w:rPr>
              <w:br w:type="textWrapping"/>
            </w:r>
            <w:r>
              <w:rPr>
                <w:rFonts w:hint="eastAsia" w:ascii="微软雅黑" w:hAnsi="微软雅黑" w:eastAsia="微软雅黑" w:cs="微软雅黑"/>
                <w:b/>
                <w:bCs/>
                <w:i w:val="0"/>
                <w:iCs w:val="0"/>
                <w:color w:val="000000"/>
                <w:kern w:val="0"/>
                <w:sz w:val="20"/>
                <w:szCs w:val="20"/>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报价单位：</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bookmarkStart w:id="62" w:name="_GoBack"/>
      <w:bookmarkEnd w:id="62"/>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1C34939"/>
    <w:rsid w:val="020C3B2F"/>
    <w:rsid w:val="020C62E0"/>
    <w:rsid w:val="03C91AE5"/>
    <w:rsid w:val="03CA17F4"/>
    <w:rsid w:val="03CC3F79"/>
    <w:rsid w:val="04065188"/>
    <w:rsid w:val="04131BA8"/>
    <w:rsid w:val="04785EAF"/>
    <w:rsid w:val="049B6EAD"/>
    <w:rsid w:val="04A171B4"/>
    <w:rsid w:val="04DD5D12"/>
    <w:rsid w:val="05685F23"/>
    <w:rsid w:val="05F23A3F"/>
    <w:rsid w:val="0696086E"/>
    <w:rsid w:val="06F21187"/>
    <w:rsid w:val="075935F4"/>
    <w:rsid w:val="07E332FF"/>
    <w:rsid w:val="07FC173B"/>
    <w:rsid w:val="081F5AEE"/>
    <w:rsid w:val="08314CF2"/>
    <w:rsid w:val="09C845C0"/>
    <w:rsid w:val="09DD1360"/>
    <w:rsid w:val="0A4D7496"/>
    <w:rsid w:val="0BFE4EEC"/>
    <w:rsid w:val="0C095100"/>
    <w:rsid w:val="0C3F0755"/>
    <w:rsid w:val="0CB657C6"/>
    <w:rsid w:val="0E09534C"/>
    <w:rsid w:val="0E466A71"/>
    <w:rsid w:val="0F9811B3"/>
    <w:rsid w:val="1045725B"/>
    <w:rsid w:val="10B1300C"/>
    <w:rsid w:val="11556A4D"/>
    <w:rsid w:val="12503FC7"/>
    <w:rsid w:val="130C6140"/>
    <w:rsid w:val="13482467"/>
    <w:rsid w:val="143376FC"/>
    <w:rsid w:val="14553B17"/>
    <w:rsid w:val="14DC5FE6"/>
    <w:rsid w:val="152A6D51"/>
    <w:rsid w:val="16813312"/>
    <w:rsid w:val="176230BA"/>
    <w:rsid w:val="17681DB3"/>
    <w:rsid w:val="17981569"/>
    <w:rsid w:val="18661881"/>
    <w:rsid w:val="18860743"/>
    <w:rsid w:val="18A14941"/>
    <w:rsid w:val="18B97D11"/>
    <w:rsid w:val="18E37943"/>
    <w:rsid w:val="18F51424"/>
    <w:rsid w:val="197E141A"/>
    <w:rsid w:val="1BA109F0"/>
    <w:rsid w:val="1C0138BF"/>
    <w:rsid w:val="1C874A89"/>
    <w:rsid w:val="1D04432C"/>
    <w:rsid w:val="1D6F437D"/>
    <w:rsid w:val="1D84721B"/>
    <w:rsid w:val="1D920A05"/>
    <w:rsid w:val="1EA41923"/>
    <w:rsid w:val="1F72088A"/>
    <w:rsid w:val="1FA5532D"/>
    <w:rsid w:val="1FD55B0C"/>
    <w:rsid w:val="1FDD64D9"/>
    <w:rsid w:val="20112FE8"/>
    <w:rsid w:val="207B4905"/>
    <w:rsid w:val="20EC75B1"/>
    <w:rsid w:val="21821CC3"/>
    <w:rsid w:val="21F01AD7"/>
    <w:rsid w:val="225D1E12"/>
    <w:rsid w:val="22811BC0"/>
    <w:rsid w:val="22BD2FB3"/>
    <w:rsid w:val="239C706C"/>
    <w:rsid w:val="23DA5DE6"/>
    <w:rsid w:val="24101808"/>
    <w:rsid w:val="250F2FA2"/>
    <w:rsid w:val="25E60A73"/>
    <w:rsid w:val="26E26AAC"/>
    <w:rsid w:val="27870033"/>
    <w:rsid w:val="293B10D5"/>
    <w:rsid w:val="297939AC"/>
    <w:rsid w:val="2A4C6D92"/>
    <w:rsid w:val="2AEF6459"/>
    <w:rsid w:val="2B147E30"/>
    <w:rsid w:val="2B17347C"/>
    <w:rsid w:val="2B35044C"/>
    <w:rsid w:val="2B8613F2"/>
    <w:rsid w:val="2B8C5C18"/>
    <w:rsid w:val="2C6F1319"/>
    <w:rsid w:val="2D776454"/>
    <w:rsid w:val="2DAD1E76"/>
    <w:rsid w:val="2E6B5176"/>
    <w:rsid w:val="2F032177"/>
    <w:rsid w:val="2F4405B8"/>
    <w:rsid w:val="2F794705"/>
    <w:rsid w:val="30470360"/>
    <w:rsid w:val="308C05DF"/>
    <w:rsid w:val="313034EA"/>
    <w:rsid w:val="31606055"/>
    <w:rsid w:val="31CF5279"/>
    <w:rsid w:val="32492AC3"/>
    <w:rsid w:val="334B0167"/>
    <w:rsid w:val="334B2928"/>
    <w:rsid w:val="33CF758C"/>
    <w:rsid w:val="371807ED"/>
    <w:rsid w:val="3736112E"/>
    <w:rsid w:val="37C8622A"/>
    <w:rsid w:val="384F06F9"/>
    <w:rsid w:val="3862667F"/>
    <w:rsid w:val="38820ABF"/>
    <w:rsid w:val="38861FAB"/>
    <w:rsid w:val="390F0422"/>
    <w:rsid w:val="395E5AFB"/>
    <w:rsid w:val="39CF4C1E"/>
    <w:rsid w:val="3AB24230"/>
    <w:rsid w:val="3C683B38"/>
    <w:rsid w:val="3DB17760"/>
    <w:rsid w:val="3FCE0E18"/>
    <w:rsid w:val="3FDA0DE9"/>
    <w:rsid w:val="401F6990"/>
    <w:rsid w:val="40582115"/>
    <w:rsid w:val="42215201"/>
    <w:rsid w:val="43290B76"/>
    <w:rsid w:val="43947AC8"/>
    <w:rsid w:val="43FB34E3"/>
    <w:rsid w:val="44157BE0"/>
    <w:rsid w:val="44666B79"/>
    <w:rsid w:val="45A7568D"/>
    <w:rsid w:val="45D56FCB"/>
    <w:rsid w:val="460F771A"/>
    <w:rsid w:val="48D20EDE"/>
    <w:rsid w:val="490C7F41"/>
    <w:rsid w:val="49B07A79"/>
    <w:rsid w:val="49B900A4"/>
    <w:rsid w:val="4B553B41"/>
    <w:rsid w:val="4BCD7E5B"/>
    <w:rsid w:val="4C7F728B"/>
    <w:rsid w:val="4D471547"/>
    <w:rsid w:val="4D73233C"/>
    <w:rsid w:val="4DB50BA7"/>
    <w:rsid w:val="4E7520E4"/>
    <w:rsid w:val="4E8A6653"/>
    <w:rsid w:val="4E8F13F8"/>
    <w:rsid w:val="4F2558B8"/>
    <w:rsid w:val="4FB56C3C"/>
    <w:rsid w:val="4FE70DC0"/>
    <w:rsid w:val="50F43794"/>
    <w:rsid w:val="50FB3D29"/>
    <w:rsid w:val="521D6D1B"/>
    <w:rsid w:val="523C3645"/>
    <w:rsid w:val="526C3AC7"/>
    <w:rsid w:val="53A33E25"/>
    <w:rsid w:val="53C03E02"/>
    <w:rsid w:val="56310FE7"/>
    <w:rsid w:val="579D445B"/>
    <w:rsid w:val="58347A0F"/>
    <w:rsid w:val="595C637A"/>
    <w:rsid w:val="59D033D2"/>
    <w:rsid w:val="59F120D7"/>
    <w:rsid w:val="5A63255D"/>
    <w:rsid w:val="5A897643"/>
    <w:rsid w:val="5AD07020"/>
    <w:rsid w:val="5AD84501"/>
    <w:rsid w:val="5B3B6B74"/>
    <w:rsid w:val="5B3E5B74"/>
    <w:rsid w:val="5B822014"/>
    <w:rsid w:val="5CC46711"/>
    <w:rsid w:val="5D0A5B8C"/>
    <w:rsid w:val="5D681792"/>
    <w:rsid w:val="5EE054CC"/>
    <w:rsid w:val="609F16B5"/>
    <w:rsid w:val="60A800F7"/>
    <w:rsid w:val="61E3588B"/>
    <w:rsid w:val="62265778"/>
    <w:rsid w:val="629C5896"/>
    <w:rsid w:val="62AB0677"/>
    <w:rsid w:val="62D022B3"/>
    <w:rsid w:val="636E5628"/>
    <w:rsid w:val="638A4F49"/>
    <w:rsid w:val="63F91396"/>
    <w:rsid w:val="656211BC"/>
    <w:rsid w:val="65A17F37"/>
    <w:rsid w:val="65E7115D"/>
    <w:rsid w:val="66A575B3"/>
    <w:rsid w:val="69360996"/>
    <w:rsid w:val="69DC3223"/>
    <w:rsid w:val="6AB4327C"/>
    <w:rsid w:val="6AEB3A02"/>
    <w:rsid w:val="6AF41D54"/>
    <w:rsid w:val="6B8F69CA"/>
    <w:rsid w:val="6C156F89"/>
    <w:rsid w:val="6D8B6DD7"/>
    <w:rsid w:val="6DAC7479"/>
    <w:rsid w:val="6DC45FEC"/>
    <w:rsid w:val="6E9070BC"/>
    <w:rsid w:val="6FB76088"/>
    <w:rsid w:val="701337DF"/>
    <w:rsid w:val="70DA234C"/>
    <w:rsid w:val="71157D6E"/>
    <w:rsid w:val="71CA25C3"/>
    <w:rsid w:val="71DF0800"/>
    <w:rsid w:val="720F6228"/>
    <w:rsid w:val="735C549D"/>
    <w:rsid w:val="73BC349A"/>
    <w:rsid w:val="740F42BD"/>
    <w:rsid w:val="742E5726"/>
    <w:rsid w:val="74EE65C9"/>
    <w:rsid w:val="75A66EA3"/>
    <w:rsid w:val="76562678"/>
    <w:rsid w:val="77570618"/>
    <w:rsid w:val="78C53AE4"/>
    <w:rsid w:val="78CA4C57"/>
    <w:rsid w:val="78D8569F"/>
    <w:rsid w:val="78FA19E0"/>
    <w:rsid w:val="7A676550"/>
    <w:rsid w:val="7B09415C"/>
    <w:rsid w:val="7CED53B8"/>
    <w:rsid w:val="7D3B4375"/>
    <w:rsid w:val="7D3F20B7"/>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微软雅黑" w:hAnsi="微软雅黑" w:eastAsia="微软雅黑" w:cs="微软雅黑"/>
      <w:b/>
      <w:bCs/>
      <w:color w:val="000000"/>
      <w:sz w:val="20"/>
      <w:szCs w:val="20"/>
      <w:u w:val="single"/>
    </w:rPr>
  </w:style>
  <w:style w:type="character" w:customStyle="1" w:styleId="38">
    <w:name w:val="font112"/>
    <w:basedOn w:val="20"/>
    <w:qFormat/>
    <w:uiPriority w:val="0"/>
    <w:rPr>
      <w:rFonts w:hint="eastAsia" w:ascii="微软雅黑" w:hAnsi="微软雅黑" w:eastAsia="微软雅黑" w:cs="微软雅黑"/>
      <w:b/>
      <w:bCs/>
      <w:color w:val="000000"/>
      <w:sz w:val="20"/>
      <w:szCs w:val="20"/>
      <w:u w:val="none"/>
    </w:rPr>
  </w:style>
  <w:style w:type="character" w:customStyle="1" w:styleId="39">
    <w:name w:val="font111"/>
    <w:basedOn w:val="20"/>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3</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2025-01-15T05:17:54Z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