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85</w:t>
      </w:r>
    </w:p>
    <w:p>
      <w:pPr>
        <w:spacing w:line="360" w:lineRule="auto"/>
        <w:jc w:val="center"/>
        <w:rPr>
          <w:rFonts w:hint="eastAsia" w:ascii="Times New Roman" w:hAnsi="Times New Roman"/>
          <w:bCs/>
          <w:sz w:val="48"/>
          <w:szCs w:val="48"/>
          <w:u w:val="single"/>
          <w:lang w:eastAsia="zh-CN"/>
        </w:rPr>
      </w:pPr>
      <w:r>
        <w:rPr>
          <w:rFonts w:hint="eastAsia" w:ascii="Times New Roman" w:hAnsi="Times New Roman"/>
          <w:bCs/>
          <w:sz w:val="48"/>
          <w:szCs w:val="48"/>
          <w:u w:val="single"/>
          <w:lang w:eastAsia="zh-CN"/>
        </w:rPr>
        <w:t>罗马音乐广场临街建筑外墙安全隐患整治工程涂料及五金材料采购项目</w:t>
      </w: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12</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2"/>
      <w:bookmarkStart w:id="1" w:name="_Hlt96805641"/>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lang w:eastAsia="zh-CN"/>
        </w:rPr>
        <w:t>罗马音乐广场临街建筑外墙安全隐患整治工程涂料及五金材料采购项目</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u w:val="single"/>
        </w:rPr>
        <w:t>JS20240</w:t>
      </w:r>
      <w:r>
        <w:rPr>
          <w:rFonts w:hint="eastAsia" w:ascii="Times New Roman" w:hAnsi="Times New Roman"/>
          <w:sz w:val="24"/>
          <w:u w:val="single"/>
          <w:lang w:val="en-US" w:eastAsia="zh-CN"/>
        </w:rPr>
        <w:t>85</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lang w:eastAsia="zh-CN"/>
        </w:rPr>
        <w:t>罗马音乐广场临街建筑外墙安全隐患整治工程涂料及五金材料采购项目。</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Times New Roman" w:hAnsi="Times New Roman"/>
          <w:color w:val="auto"/>
          <w:sz w:val="24"/>
          <w:u w:val="single"/>
          <w:lang w:val="en-US" w:eastAsia="zh-CN"/>
        </w:rPr>
      </w:pPr>
      <w:r>
        <w:rPr>
          <w:rFonts w:hint="eastAsia" w:ascii="Times New Roman" w:hAnsi="Times New Roman"/>
          <w:color w:val="auto"/>
          <w:sz w:val="24"/>
          <w:u w:val="single"/>
          <w:lang w:val="en-US" w:eastAsia="zh-CN"/>
        </w:rPr>
        <w:t>最高限价：本次询价最高限价为2.88万元(含税)，以每种材料单价进行询价，以实际交货数量进行结算。</w:t>
      </w:r>
    </w:p>
    <w:p>
      <w:pPr>
        <w:spacing w:line="360" w:lineRule="auto"/>
        <w:ind w:firstLine="482" w:firstLineChars="200"/>
        <w:rPr>
          <w:rFonts w:ascii="Times New Roman" w:hAnsi="Times New Roman"/>
          <w:color w:val="auto"/>
          <w:sz w:val="24"/>
        </w:rPr>
      </w:pPr>
      <w:r>
        <w:rPr>
          <w:rFonts w:ascii="Times New Roman" w:hAnsi="Times New Roman"/>
          <w:b/>
          <w:color w:val="auto"/>
          <w:sz w:val="24"/>
        </w:rPr>
        <w:t>三</w:t>
      </w:r>
      <w:r>
        <w:rPr>
          <w:rFonts w:ascii="Times New Roman" w:hAnsi="Times New Roman"/>
          <w:b/>
          <w:bCs/>
          <w:color w:val="auto"/>
          <w:sz w:val="24"/>
        </w:rPr>
        <w:t>、</w:t>
      </w:r>
      <w:r>
        <w:rPr>
          <w:rFonts w:ascii="Times New Roman" w:hAnsi="Times New Roman"/>
          <w:b/>
          <w:color w:val="auto"/>
          <w:sz w:val="24"/>
        </w:rPr>
        <w:t>采购项目简介：</w:t>
      </w:r>
    </w:p>
    <w:p>
      <w:pPr>
        <w:spacing w:line="360" w:lineRule="auto"/>
        <w:ind w:firstLine="480" w:firstLineChars="200"/>
        <w:rPr>
          <w:rFonts w:ascii="Times New Roman" w:hAnsi="Times New Roman"/>
          <w:spacing w:val="-4"/>
          <w:sz w:val="24"/>
        </w:rPr>
      </w:pPr>
      <w:r>
        <w:rPr>
          <w:rFonts w:hint="eastAsia" w:ascii="宋体" w:hAnsi="宋体" w:eastAsia="宋体" w:cs="宋体"/>
          <w:i w:val="0"/>
          <w:iCs w:val="0"/>
          <w:caps w:val="0"/>
          <w:color w:val="000000"/>
          <w:spacing w:val="0"/>
          <w:kern w:val="0"/>
          <w:sz w:val="24"/>
          <w:szCs w:val="24"/>
          <w:lang w:val="en-US" w:eastAsia="zh-CN" w:bidi="ar"/>
        </w:rPr>
        <w:t>项目位于攀枝花市东区攀枝花大道东段535号，本次拟对罗马音乐广场大楼外立面进行改造：全部拆除外墙瓷砖，更换为外立面涂料，增加立面广告。项目需一批材料。</w:t>
      </w:r>
      <w:r>
        <w:rPr>
          <w:rFonts w:hint="eastAsia" w:ascii="Times New Roman" w:hAnsi="Times New Roman"/>
          <w:sz w:val="24"/>
        </w:rPr>
        <w:t>（供货时限：合同签订后</w:t>
      </w:r>
      <w:r>
        <w:rPr>
          <w:rFonts w:hint="eastAsia" w:ascii="Times New Roman" w:hAnsi="Times New Roman"/>
          <w:sz w:val="24"/>
          <w:lang w:val="en-US" w:eastAsia="zh-CN"/>
        </w:rPr>
        <w:t>5</w:t>
      </w:r>
      <w:r>
        <w:rPr>
          <w:rFonts w:hint="eastAsia" w:ascii="Times New Roman" w:hAnsi="Times New Roman"/>
          <w:sz w:val="24"/>
        </w:rPr>
        <w:t>个日历天内）</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color w:val="auto"/>
          <w:sz w:val="24"/>
        </w:rPr>
      </w:pPr>
      <w:r>
        <w:rPr>
          <w:rFonts w:hint="eastAsia" w:ascii="Times New Roman" w:hAnsi="Times New Roman"/>
          <w:sz w:val="24"/>
        </w:rPr>
        <w:t>询价资格预审</w:t>
      </w:r>
      <w:r>
        <w:rPr>
          <w:rFonts w:ascii="Times New Roman" w:hAnsi="Times New Roman"/>
          <w:sz w:val="24"/>
        </w:rPr>
        <w:t>文</w:t>
      </w:r>
      <w:r>
        <w:rPr>
          <w:rFonts w:ascii="Times New Roman" w:hAnsi="Times New Roman"/>
          <w:color w:val="auto"/>
          <w:sz w:val="24"/>
        </w:rPr>
        <w:t>件自</w:t>
      </w:r>
      <w:r>
        <w:rPr>
          <w:rFonts w:hint="eastAsia" w:ascii="Times New Roman" w:hAnsi="Times New Roman"/>
          <w:b/>
          <w:bCs/>
          <w:color w:val="auto"/>
          <w:sz w:val="24"/>
          <w:u w:val="single"/>
        </w:rPr>
        <w:t>2024年</w:t>
      </w:r>
      <w:r>
        <w:rPr>
          <w:rFonts w:hint="eastAsia" w:ascii="Times New Roman" w:hAnsi="Times New Roman"/>
          <w:b/>
          <w:bCs/>
          <w:color w:val="auto"/>
          <w:sz w:val="24"/>
          <w:u w:val="single"/>
          <w:lang w:val="en-US" w:eastAsia="zh-CN"/>
        </w:rPr>
        <w:t>12</w:t>
      </w:r>
      <w:r>
        <w:rPr>
          <w:rFonts w:hint="eastAsia" w:ascii="Times New Roman" w:hAnsi="Times New Roman"/>
          <w:b/>
          <w:bCs/>
          <w:color w:val="auto"/>
          <w:sz w:val="24"/>
          <w:u w:val="single"/>
        </w:rPr>
        <w:t>月</w:t>
      </w:r>
      <w:r>
        <w:rPr>
          <w:rFonts w:hint="eastAsia" w:ascii="Times New Roman" w:hAnsi="Times New Roman"/>
          <w:b/>
          <w:bCs/>
          <w:color w:val="auto"/>
          <w:sz w:val="24"/>
          <w:u w:val="single"/>
          <w:lang w:val="en-US" w:eastAsia="zh-CN"/>
        </w:rPr>
        <w:t>20</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15</w:t>
      </w:r>
      <w:r>
        <w:rPr>
          <w:rFonts w:hint="eastAsia" w:ascii="Times New Roman" w:hAnsi="Times New Roman"/>
          <w:b/>
          <w:bCs/>
          <w:color w:val="auto"/>
          <w:sz w:val="24"/>
          <w:u w:val="single"/>
        </w:rPr>
        <w:t>:00至2024年</w:t>
      </w:r>
      <w:r>
        <w:rPr>
          <w:rFonts w:hint="eastAsia" w:ascii="Times New Roman" w:hAnsi="Times New Roman"/>
          <w:b/>
          <w:bCs/>
          <w:color w:val="auto"/>
          <w:sz w:val="24"/>
          <w:u w:val="single"/>
          <w:lang w:val="en-US" w:eastAsia="zh-CN"/>
        </w:rPr>
        <w:t>12</w:t>
      </w:r>
      <w:r>
        <w:rPr>
          <w:rFonts w:hint="eastAsia" w:ascii="Times New Roman" w:hAnsi="Times New Roman"/>
          <w:b/>
          <w:bCs/>
          <w:color w:val="auto"/>
          <w:sz w:val="24"/>
          <w:u w:val="single"/>
        </w:rPr>
        <w:t>月</w:t>
      </w:r>
      <w:r>
        <w:rPr>
          <w:rFonts w:hint="eastAsia" w:ascii="Times New Roman" w:hAnsi="Times New Roman"/>
          <w:b/>
          <w:bCs/>
          <w:color w:val="auto"/>
          <w:sz w:val="24"/>
          <w:u w:val="single"/>
          <w:lang w:val="en-US" w:eastAsia="zh-CN"/>
        </w:rPr>
        <w:t>23</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15</w:t>
      </w:r>
      <w:r>
        <w:rPr>
          <w:rFonts w:hint="eastAsia" w:ascii="Times New Roman" w:hAnsi="Times New Roman"/>
          <w:b/>
          <w:bCs/>
          <w:color w:val="auto"/>
          <w:sz w:val="24"/>
          <w:u w:val="single"/>
        </w:rPr>
        <w:t>:</w:t>
      </w:r>
      <w:r>
        <w:rPr>
          <w:rFonts w:hint="eastAsia" w:ascii="Times New Roman" w:hAnsi="Times New Roman"/>
          <w:b/>
          <w:bCs/>
          <w:color w:val="auto"/>
          <w:sz w:val="24"/>
          <w:u w:val="single"/>
          <w:lang w:val="en-US" w:eastAsia="zh-CN"/>
        </w:rPr>
        <w:t>3</w:t>
      </w:r>
      <w:r>
        <w:rPr>
          <w:rFonts w:hint="eastAsia" w:ascii="Times New Roman" w:hAnsi="Times New Roman"/>
          <w:b/>
          <w:bCs/>
          <w:color w:val="auto"/>
          <w:sz w:val="24"/>
          <w:u w:val="single"/>
        </w:rPr>
        <w:t>0</w:t>
      </w:r>
      <w:r>
        <w:rPr>
          <w:rFonts w:ascii="Times New Roman" w:hAnsi="Times New Roman"/>
          <w:color w:val="auto"/>
          <w:sz w:val="24"/>
          <w:szCs w:val="28"/>
        </w:rPr>
        <w:t>（北京时间）</w:t>
      </w:r>
      <w:r>
        <w:rPr>
          <w:rFonts w:ascii="Times New Roman" w:hAnsi="Times New Roman"/>
          <w:color w:val="auto"/>
          <w:sz w:val="24"/>
        </w:rPr>
        <w:t>在</w:t>
      </w:r>
      <w:r>
        <w:rPr>
          <w:rFonts w:hint="eastAsia" w:ascii="Times New Roman" w:hAnsi="Times New Roman"/>
          <w:color w:val="auto"/>
          <w:sz w:val="24"/>
          <w:u w:val="single"/>
        </w:rPr>
        <w:t>攀枝花市国有投资（集团）有限责任公司官网</w:t>
      </w:r>
      <w:r>
        <w:rPr>
          <w:rFonts w:ascii="Times New Roman" w:hAnsi="Times New Roman"/>
          <w:color w:val="auto"/>
          <w:sz w:val="24"/>
          <w:u w:val="single"/>
        </w:rPr>
        <w:t>（http://www.pzhguotou.com）</w:t>
      </w:r>
      <w:r>
        <w:rPr>
          <w:rFonts w:ascii="Times New Roman" w:hAnsi="Times New Roman"/>
          <w:color w:val="auto"/>
          <w:sz w:val="24"/>
          <w:szCs w:val="28"/>
          <w:u w:val="single"/>
        </w:rPr>
        <w:t>，</w:t>
      </w:r>
      <w:r>
        <w:rPr>
          <w:rFonts w:ascii="Times New Roman" w:hAnsi="Times New Roman"/>
          <w:color w:val="auto"/>
          <w:sz w:val="24"/>
        </w:rPr>
        <w:t>按照流程获取。</w:t>
      </w:r>
    </w:p>
    <w:p>
      <w:pPr>
        <w:spacing w:line="360" w:lineRule="auto"/>
        <w:ind w:firstLine="480" w:firstLineChars="200"/>
        <w:rPr>
          <w:rFonts w:ascii="Times New Roman" w:hAnsi="Times New Roman"/>
          <w:color w:val="auto"/>
          <w:sz w:val="24"/>
        </w:rPr>
      </w:pPr>
      <w:r>
        <w:rPr>
          <w:rFonts w:ascii="Times New Roman" w:hAnsi="Times New Roman"/>
          <w:color w:val="auto"/>
          <w:sz w:val="24"/>
          <w:szCs w:val="18"/>
        </w:rPr>
        <w:t>本项目</w:t>
      </w:r>
      <w:r>
        <w:rPr>
          <w:rFonts w:hint="eastAsia" w:ascii="Times New Roman" w:hAnsi="Times New Roman"/>
          <w:color w:val="auto"/>
          <w:sz w:val="24"/>
          <w:szCs w:val="18"/>
        </w:rPr>
        <w:t>询价资格预审</w:t>
      </w:r>
      <w:r>
        <w:rPr>
          <w:rFonts w:ascii="Times New Roman" w:hAnsi="Times New Roman"/>
          <w:color w:val="auto"/>
          <w:sz w:val="24"/>
          <w:szCs w:val="18"/>
        </w:rPr>
        <w:t>文件费用：</w:t>
      </w:r>
      <w:r>
        <w:rPr>
          <w:rFonts w:hint="eastAsia" w:ascii="Times New Roman" w:hAnsi="Times New Roman"/>
          <w:color w:val="auto"/>
          <w:sz w:val="24"/>
        </w:rPr>
        <w:t>本次不收取资格预审文件费用</w:t>
      </w:r>
      <w:r>
        <w:rPr>
          <w:rFonts w:ascii="Times New Roman" w:hAnsi="Times New Roman"/>
          <w:color w:val="auto"/>
          <w:sz w:val="24"/>
        </w:rPr>
        <w:t>。</w:t>
      </w:r>
    </w:p>
    <w:p>
      <w:pPr>
        <w:spacing w:line="360" w:lineRule="auto"/>
        <w:ind w:firstLine="482" w:firstLineChars="200"/>
        <w:rPr>
          <w:rFonts w:ascii="Times New Roman" w:hAnsi="Times New Roman"/>
          <w:sz w:val="24"/>
          <w:szCs w:val="28"/>
        </w:rPr>
      </w:pPr>
      <w:r>
        <w:rPr>
          <w:rFonts w:hint="eastAsia" w:ascii="Times New Roman" w:hAnsi="Times New Roman"/>
          <w:b/>
          <w:color w:val="auto"/>
          <w:sz w:val="24"/>
          <w:szCs w:val="28"/>
        </w:rPr>
        <w:t>七</w:t>
      </w:r>
      <w:r>
        <w:rPr>
          <w:rFonts w:ascii="Times New Roman" w:hAnsi="Times New Roman"/>
          <w:b/>
          <w:color w:val="auto"/>
          <w:sz w:val="24"/>
          <w:szCs w:val="28"/>
        </w:rPr>
        <w:t>、递交</w:t>
      </w:r>
      <w:r>
        <w:rPr>
          <w:rFonts w:hint="eastAsia" w:ascii="Times New Roman" w:hAnsi="Times New Roman"/>
          <w:b/>
          <w:color w:val="auto"/>
          <w:sz w:val="24"/>
          <w:szCs w:val="28"/>
        </w:rPr>
        <w:t>资格预审申请文件</w:t>
      </w:r>
      <w:r>
        <w:rPr>
          <w:rFonts w:ascii="Times New Roman" w:hAnsi="Times New Roman"/>
          <w:b/>
          <w:color w:val="auto"/>
          <w:sz w:val="24"/>
        </w:rPr>
        <w:t>截止时间</w:t>
      </w:r>
      <w:r>
        <w:rPr>
          <w:rFonts w:ascii="Times New Roman" w:hAnsi="Times New Roman"/>
          <w:b w:val="0"/>
          <w:bCs/>
          <w:color w:val="auto"/>
          <w:sz w:val="24"/>
        </w:rPr>
        <w:t>：</w:t>
      </w:r>
      <w:r>
        <w:rPr>
          <w:rFonts w:hint="eastAsia" w:ascii="Times New Roman" w:hAnsi="Times New Roman"/>
          <w:b/>
          <w:bCs/>
          <w:color w:val="auto"/>
          <w:sz w:val="24"/>
          <w:u w:val="single"/>
        </w:rPr>
        <w:t>2024年</w:t>
      </w:r>
      <w:r>
        <w:rPr>
          <w:rFonts w:hint="eastAsia" w:ascii="Times New Roman" w:hAnsi="Times New Roman"/>
          <w:b/>
          <w:bCs/>
          <w:color w:val="auto"/>
          <w:sz w:val="24"/>
          <w:u w:val="single"/>
          <w:lang w:val="en-US" w:eastAsia="zh-CN"/>
        </w:rPr>
        <w:t>12</w:t>
      </w:r>
      <w:r>
        <w:rPr>
          <w:rFonts w:hint="eastAsia" w:ascii="Times New Roman" w:hAnsi="Times New Roman"/>
          <w:b/>
          <w:bCs/>
          <w:color w:val="auto"/>
          <w:sz w:val="24"/>
          <w:u w:val="single"/>
        </w:rPr>
        <w:t>月</w:t>
      </w:r>
      <w:r>
        <w:rPr>
          <w:rFonts w:hint="eastAsia" w:ascii="Times New Roman" w:hAnsi="Times New Roman"/>
          <w:b/>
          <w:bCs/>
          <w:color w:val="auto"/>
          <w:sz w:val="24"/>
          <w:u w:val="single"/>
          <w:lang w:val="en-US" w:eastAsia="zh-CN"/>
        </w:rPr>
        <w:t>23</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15</w:t>
      </w:r>
      <w:r>
        <w:rPr>
          <w:rFonts w:hint="eastAsia" w:ascii="Times New Roman" w:hAnsi="Times New Roman"/>
          <w:b/>
          <w:bCs/>
          <w:color w:val="auto"/>
          <w:sz w:val="24"/>
          <w:u w:val="single"/>
        </w:rPr>
        <w:t>:</w:t>
      </w:r>
      <w:r>
        <w:rPr>
          <w:rFonts w:hint="eastAsia" w:ascii="Times New Roman" w:hAnsi="Times New Roman"/>
          <w:b/>
          <w:bCs/>
          <w:color w:val="auto"/>
          <w:sz w:val="24"/>
          <w:u w:val="single"/>
          <w:lang w:val="en-US" w:eastAsia="zh-CN"/>
        </w:rPr>
        <w:t>3</w:t>
      </w:r>
      <w:r>
        <w:rPr>
          <w:rFonts w:hint="eastAsia" w:ascii="Times New Roman" w:hAnsi="Times New Roman"/>
          <w:b/>
          <w:bCs/>
          <w:color w:val="auto"/>
          <w:sz w:val="24"/>
          <w:u w:val="single"/>
        </w:rPr>
        <w:t>0</w:t>
      </w:r>
      <w:r>
        <w:rPr>
          <w:rFonts w:hint="eastAsia" w:ascii="Times New Roman" w:hAnsi="Times New Roman"/>
          <w:color w:val="auto"/>
          <w:sz w:val="24"/>
          <w:u w:val="none"/>
        </w:rPr>
        <w:t>（</w:t>
      </w:r>
      <w:r>
        <w:rPr>
          <w:rFonts w:ascii="Times New Roman" w:hAnsi="Times New Roman"/>
          <w:color w:val="auto"/>
          <w:sz w:val="24"/>
          <w:szCs w:val="28"/>
        </w:rPr>
        <w:t>北京</w:t>
      </w:r>
      <w:r>
        <w:rPr>
          <w:rFonts w:ascii="Times New Roman" w:hAnsi="Times New Roman"/>
          <w:sz w:val="24"/>
          <w:szCs w:val="28"/>
        </w:rPr>
        <w:t>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lang w:eastAsia="zh-CN"/>
        </w:rPr>
        <w:t>516室</w:t>
      </w:r>
      <w:r>
        <w:rPr>
          <w:rFonts w:ascii="Times New Roman" w:hAnsi="Times New Roman"/>
          <w:sz w:val="24"/>
          <w:szCs w:val="28"/>
          <w:u w:val="single"/>
        </w:rPr>
        <w:t>】</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auto"/>
                <w:sz w:val="24"/>
                <w:u w:val="single"/>
                <w:lang w:val="en-US" w:eastAsia="zh-CN"/>
              </w:rPr>
              <w:t>本次询价最高限价为2.88万元(含税)，</w:t>
            </w:r>
            <w:r>
              <w:rPr>
                <w:rFonts w:hint="eastAsia" w:ascii="Times New Roman" w:hAnsi="Times New Roman"/>
                <w:b/>
                <w:bCs/>
                <w:color w:val="auto"/>
                <w:sz w:val="24"/>
                <w:u w:val="single"/>
              </w:rPr>
              <w:t>以每种</w:t>
            </w:r>
            <w:r>
              <w:rPr>
                <w:rFonts w:hint="eastAsia" w:ascii="Times New Roman" w:hAnsi="Times New Roman"/>
                <w:b/>
                <w:bCs/>
                <w:color w:val="auto"/>
                <w:sz w:val="24"/>
                <w:u w:val="single"/>
                <w:lang w:val="en-US" w:eastAsia="zh-CN"/>
              </w:rPr>
              <w:t>材料</w:t>
            </w:r>
            <w:r>
              <w:rPr>
                <w:rFonts w:hint="eastAsia" w:ascii="Times New Roman" w:hAnsi="Times New Roman"/>
                <w:b/>
                <w:bCs/>
                <w:color w:val="auto"/>
                <w:sz w:val="24"/>
                <w:u w:val="single"/>
              </w:rPr>
              <w:t>单价进行询价</w:t>
            </w:r>
            <w:r>
              <w:rPr>
                <w:rFonts w:hint="eastAsia" w:ascii="Times New Roman" w:hAnsi="Times New Roman"/>
                <w:color w:val="auto"/>
                <w:sz w:val="24"/>
                <w:u w:val="single"/>
                <w:lang w:eastAsia="zh-CN"/>
              </w:rPr>
              <w:t>，</w:t>
            </w:r>
            <w:r>
              <w:rPr>
                <w:rFonts w:hint="eastAsia" w:ascii="Times New Roman" w:hAnsi="Times New Roman" w:eastAsia="宋体" w:cs="Times New Roman"/>
                <w:b/>
                <w:bCs/>
                <w:color w:val="auto"/>
                <w:sz w:val="24"/>
                <w:u w:val="single"/>
              </w:rPr>
              <w:t>以实际交货数量进行结算。</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183682369"/>
      <w:bookmarkStart w:id="46" w:name="_Toc183582232"/>
      <w:bookmarkStart w:id="47" w:name="_Toc217446057"/>
      <w:r>
        <w:rPr>
          <w:rFonts w:hint="eastAsia" w:ascii="宋体" w:hAnsi="宋体"/>
          <w:sz w:val="24"/>
        </w:rPr>
        <w:t>1、需求清单</w:t>
      </w:r>
    </w:p>
    <w:tbl>
      <w:tblPr>
        <w:tblW w:w="10260" w:type="dxa"/>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76"/>
        <w:gridCol w:w="1637"/>
        <w:gridCol w:w="1748"/>
        <w:gridCol w:w="806"/>
        <w:gridCol w:w="951"/>
        <w:gridCol w:w="1271"/>
        <w:gridCol w:w="1731"/>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trPr>
        <w:tc>
          <w:tcPr>
            <w:tcW w:w="10260"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罗马音乐广场临街建筑外墙安全隐患整治工程涂料及五金材料采购项目--报价清单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材料名称</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规格、型号</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单价（元）</w:t>
            </w:r>
          </w:p>
        </w:tc>
        <w:tc>
          <w:tcPr>
            <w:tcW w:w="17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不含税小计（元）</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成品腻子粉</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耐水N型</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2307</w:t>
            </w: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胶水</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115</w:t>
            </w: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真石漆</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颜色由采购人选定</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3575.85</w:t>
            </w: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w:t>
            </w:r>
          </w:p>
        </w:tc>
        <w:tc>
          <w:tcPr>
            <w:tcW w:w="1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罩面漆</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302.8</w:t>
            </w: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水性封闭底漆</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302.8</w:t>
            </w: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6</w:t>
            </w:r>
          </w:p>
        </w:tc>
        <w:tc>
          <w:tcPr>
            <w:tcW w:w="1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成品腻子膏</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一般型Y</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117.6</w:t>
            </w: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7</w:t>
            </w:r>
          </w:p>
        </w:tc>
        <w:tc>
          <w:tcPr>
            <w:tcW w:w="1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双面纸胶带</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20mm宽</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卷</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100.9</w:t>
            </w: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w:t>
            </w:r>
          </w:p>
        </w:tc>
        <w:tc>
          <w:tcPr>
            <w:tcW w:w="1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乳胶漆底漆</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12.8</w:t>
            </w: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9</w:t>
            </w:r>
          </w:p>
        </w:tc>
        <w:tc>
          <w:tcPr>
            <w:tcW w:w="1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乳胶漆面漆</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56.5</w:t>
            </w: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10</w:t>
            </w:r>
          </w:p>
        </w:tc>
        <w:tc>
          <w:tcPr>
            <w:tcW w:w="1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镀锌矩管</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50*50*3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30.6</w:t>
            </w: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11</w:t>
            </w:r>
          </w:p>
        </w:tc>
        <w:tc>
          <w:tcPr>
            <w:tcW w:w="1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镀锌矩管</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100*50*5</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bdr w:val="none" w:color="auto" w:sz="0" w:space="0"/>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35.2</w:t>
            </w: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89"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7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10260"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合计：不含税总价：         元；税率   %，含税总价          元。</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260" w:type="dxa"/>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报价单位：</w:t>
            </w:r>
          </w:p>
        </w:tc>
      </w:tr>
    </w:tbl>
    <w:p>
      <w:pPr>
        <w:pStyle w:val="2"/>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lang w:val="en-US" w:eastAsia="zh-CN"/>
        </w:rPr>
        <w:t>5</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rFonts w:eastAsia="宋体" w:cs="Times New Roman"/>
          <w:b/>
          <w:bCs/>
          <w:sz w:val="24"/>
        </w:rPr>
      </w:pPr>
      <w:r>
        <w:rPr>
          <w:b/>
          <w:bCs/>
          <w:sz w:val="24"/>
        </w:rPr>
        <w:t>交货地点：</w:t>
      </w:r>
      <w:r>
        <w:rPr>
          <w:rFonts w:hint="eastAsia" w:eastAsia="宋体" w:cs="Times New Roman"/>
          <w:sz w:val="24"/>
          <w:u w:val="single" w:color="000000"/>
          <w:lang w:val="en-US" w:eastAsia="zh-CN"/>
        </w:rPr>
        <w:t>攀枝花市东区攀枝花大道东段535号指</w:t>
      </w:r>
      <w:r>
        <w:rPr>
          <w:rFonts w:hint="eastAsia"/>
          <w:sz w:val="24"/>
          <w:u w:val="single" w:color="000000"/>
          <w:lang w:val="en-US" w:eastAsia="zh-CN"/>
        </w:rPr>
        <w:t>定位置</w:t>
      </w:r>
      <w:r>
        <w:rPr>
          <w:rFonts w:eastAsia="宋体" w:cs="Times New Roman"/>
          <w:b/>
          <w:bCs/>
          <w:sz w:val="24"/>
        </w:rPr>
        <w:t>。</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ind w:firstLine="1325" w:firstLineChars="300"/>
        <w:jc w:val="both"/>
        <w:rPr>
          <w:rFonts w:ascii="Times New Roman" w:hAnsi="Times New Roman"/>
          <w:b/>
          <w:bCs/>
          <w:sz w:val="32"/>
          <w:szCs w:val="32"/>
        </w:rPr>
      </w:pPr>
      <w:bookmarkStart w:id="62" w:name="_GoBack"/>
      <w:bookmarkEnd w:id="62"/>
      <w:bookmarkStart w:id="48" w:name="_Toc96804768"/>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761121"/>
      <w:bookmarkStart w:id="50" w:name="_Toc96446260"/>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11832144"/>
      <w:bookmarkStart w:id="52" w:name="_Toc96446261"/>
      <w:bookmarkStart w:id="53" w:name="_Toc94345768"/>
      <w:bookmarkStart w:id="54" w:name="_Toc11764033"/>
      <w:bookmarkStart w:id="55" w:name="_Toc96761122"/>
      <w:bookmarkStart w:id="56" w:name="_Toc13564302"/>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18"/>
        <w:tblW w:w="10260" w:type="dxa"/>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637"/>
        <w:gridCol w:w="1748"/>
        <w:gridCol w:w="806"/>
        <w:gridCol w:w="951"/>
        <w:gridCol w:w="1271"/>
        <w:gridCol w:w="1731"/>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026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罗马音乐广场临街建筑外墙安全隐患整治工程涂料及五金材料采购项目--报价清单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不含税小计（元）</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成品腻子粉</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耐水N型</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胶水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真石漆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颜色由采购人选定</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3575.85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罩面漆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水性封闭底漆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成品腻子膏</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一般型Y</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双面纸胶带</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20mm宽</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100.9</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乳胶漆底漆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乳胶漆面漆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镀锌矩管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50*50*3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镀锌矩管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100*50*5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2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2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r>
    </w:tbl>
    <w:p>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1906" w:h="16838"/>
          <w:pgMar w:top="1440" w:right="1803" w:bottom="1440" w:left="1803"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highlight w:val="yellow"/>
                <w:lang w:val="en-US" w:eastAsia="zh-CN"/>
              </w:rPr>
            </w:pPr>
            <w:r>
              <w:rPr>
                <w:rFonts w:hint="eastAsia"/>
                <w:lang w:val="en-US" w:eastAsia="zh-CN"/>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eastAsia="宋体"/>
                <w:highlight w:val="yellow"/>
                <w:lang w:val="en-US" w:eastAsia="zh-CN"/>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w:t>
            </w:r>
            <w:r>
              <w:rPr>
                <w:rFonts w:hint="eastAsia"/>
                <w:b/>
                <w:bCs/>
              </w:rPr>
              <w:t>报价得分=(</w:t>
            </w:r>
            <w:r>
              <w:rPr>
                <w:rFonts w:hint="eastAsia"/>
                <w:b/>
                <w:bCs/>
                <w:lang w:eastAsia="zh-CN"/>
              </w:rPr>
              <w:t>询价</w:t>
            </w:r>
            <w:r>
              <w:rPr>
                <w:rFonts w:hint="eastAsia"/>
                <w:b/>
                <w:bCs/>
              </w:rPr>
              <w:t>基准价／最后报价)×</w:t>
            </w:r>
            <w:r>
              <w:rPr>
                <w:rFonts w:hint="eastAsia"/>
                <w:b/>
                <w:bCs/>
                <w:lang w:val="en-US" w:eastAsia="zh-CN"/>
              </w:rPr>
              <w:t>标准分</w:t>
            </w:r>
            <w:r>
              <w:rPr>
                <w:rFonts w:hint="eastAsia"/>
                <w:b/>
                <w:bCs/>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eastAsia="宋体"/>
                <w:lang w:val="en-US" w:eastAsia="zh-CN"/>
              </w:rPr>
            </w:pPr>
            <w:r>
              <w:rPr>
                <w:rFonts w:hint="eastAsia"/>
                <w:lang w:val="en-US" w:eastAsia="zh-CN"/>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lang w:val="en-US"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highlight w:val="none"/>
                <w:lang w:val="en-US" w:eastAsia="zh-CN"/>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99"/>
      <w:bookmarkStart w:id="61" w:name="_Toc21744605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宋体" w:hAnsi="宋体"/>
          <w:sz w:val="24"/>
        </w:rPr>
      </w:pPr>
      <w:r>
        <w:rPr>
          <w:rFonts w:hint="eastAsia" w:ascii="黑体" w:hAnsi="黑体" w:eastAsia="黑体"/>
          <w:sz w:val="44"/>
          <w:szCs w:val="44"/>
          <w:lang w:val="en-US" w:eastAsia="zh-CN"/>
        </w:rPr>
        <w:t xml:space="preserve">罗马音乐广场临街建筑外墙安全隐患整治工程涂料及五金材料采购项目 </w:t>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lang w:val="en-US" w:eastAsia="zh-CN"/>
        </w:rPr>
        <w:t xml:space="preserve">  罗马音乐广场临街建筑外墙安全隐患整治工程  </w:t>
      </w:r>
      <w:r>
        <w:rPr>
          <w:rFonts w:hint="eastAsia" w:ascii="宋体" w:hAnsi="宋体"/>
          <w:sz w:val="24"/>
        </w:rPr>
        <w:t>工程的相关事宜，达成如下合同条款。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eastAsia="宋体" w:cs="Times New Roman"/>
          <w:sz w:val="24"/>
          <w:u w:val="single" w:color="000000"/>
          <w:lang w:val="en-US" w:eastAsia="zh-CN"/>
        </w:rPr>
        <w:t>攀枝花市东区攀枝花大道东段535号</w:t>
      </w:r>
      <w:r>
        <w:rPr>
          <w:rFonts w:hint="eastAsia"/>
          <w:sz w:val="24"/>
          <w:u w:val="single" w:color="000000"/>
          <w:lang w:val="en-US" w:eastAsia="zh-CN"/>
        </w:rPr>
        <w:t>指定位置</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所有产品满足国家标准，监理及甲方验收要求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1906" w:h="16838"/>
          <w:pgMar w:top="1440" w:right="1803" w:bottom="1440" w:left="1803" w:header="851" w:footer="992" w:gutter="0"/>
          <w:pgNumType w:fmt="decimal"/>
          <w:cols w:space="720" w:num="1"/>
          <w:rtlGutter w:val="0"/>
          <w:docGrid w:type="lines" w:linePitch="320" w:charSpace="0"/>
        </w:sectPr>
      </w:pPr>
    </w:p>
    <w:tbl>
      <w:tblPr>
        <w:tblStyle w:val="18"/>
        <w:tblW w:w="10260" w:type="dxa"/>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637"/>
        <w:gridCol w:w="1748"/>
        <w:gridCol w:w="806"/>
        <w:gridCol w:w="951"/>
        <w:gridCol w:w="1271"/>
        <w:gridCol w:w="1731"/>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026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罗马音乐广场临街建筑外墙安全隐患整治工程涂料及五金材料采购项目--报价清单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不含税小计（元）</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成品腻子粉</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耐水N型</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胶水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真石漆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颜色由采购人选定</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3575.85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罩面漆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水性封闭底漆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成品腻子膏</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一般型Y</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双面纸胶带</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20mm宽</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100.9</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乳胶漆底漆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乳胶漆面漆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镀锌矩管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50*50*3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镀锌矩管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100*50*5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2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2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 w:name="KSO_WPS_MARK_KEY" w:val="98b0eef8-99eb-4e15-a5e3-580c22b6957f"/>
  </w:docVars>
  <w:rsids>
    <w:rsidRoot w:val="00546C87"/>
    <w:rsid w:val="000342A8"/>
    <w:rsid w:val="00302C16"/>
    <w:rsid w:val="003156F7"/>
    <w:rsid w:val="00546C87"/>
    <w:rsid w:val="0076465A"/>
    <w:rsid w:val="008F64B5"/>
    <w:rsid w:val="0091275D"/>
    <w:rsid w:val="009570C6"/>
    <w:rsid w:val="00A30542"/>
    <w:rsid w:val="00AA37C8"/>
    <w:rsid w:val="00C37357"/>
    <w:rsid w:val="00CD3D38"/>
    <w:rsid w:val="00CD4D8E"/>
    <w:rsid w:val="00D45719"/>
    <w:rsid w:val="00E43089"/>
    <w:rsid w:val="00EB5359"/>
    <w:rsid w:val="00EC369F"/>
    <w:rsid w:val="00EE0CE2"/>
    <w:rsid w:val="00EE3374"/>
    <w:rsid w:val="020C3B2F"/>
    <w:rsid w:val="03CA17F4"/>
    <w:rsid w:val="03CC3F79"/>
    <w:rsid w:val="04065188"/>
    <w:rsid w:val="04131BA8"/>
    <w:rsid w:val="04785EAF"/>
    <w:rsid w:val="049B6EAD"/>
    <w:rsid w:val="04A171B4"/>
    <w:rsid w:val="050E236F"/>
    <w:rsid w:val="05F23A3F"/>
    <w:rsid w:val="0696086E"/>
    <w:rsid w:val="075935F4"/>
    <w:rsid w:val="07E332FF"/>
    <w:rsid w:val="07FC173B"/>
    <w:rsid w:val="08314CF2"/>
    <w:rsid w:val="09C845C0"/>
    <w:rsid w:val="09DD1360"/>
    <w:rsid w:val="0C3F0755"/>
    <w:rsid w:val="0CB657C6"/>
    <w:rsid w:val="0E09534C"/>
    <w:rsid w:val="0E466A71"/>
    <w:rsid w:val="10A51DDA"/>
    <w:rsid w:val="10B1300C"/>
    <w:rsid w:val="11556A4D"/>
    <w:rsid w:val="130C6140"/>
    <w:rsid w:val="13482467"/>
    <w:rsid w:val="14553B17"/>
    <w:rsid w:val="14DC5FE6"/>
    <w:rsid w:val="152A6D51"/>
    <w:rsid w:val="16813312"/>
    <w:rsid w:val="173A6184"/>
    <w:rsid w:val="176230BA"/>
    <w:rsid w:val="17681DB3"/>
    <w:rsid w:val="18661881"/>
    <w:rsid w:val="18860743"/>
    <w:rsid w:val="18A14941"/>
    <w:rsid w:val="18B97D11"/>
    <w:rsid w:val="18E37943"/>
    <w:rsid w:val="1BA109F0"/>
    <w:rsid w:val="1C0138BF"/>
    <w:rsid w:val="1D04432C"/>
    <w:rsid w:val="1D6F437D"/>
    <w:rsid w:val="1D84721B"/>
    <w:rsid w:val="1D920A05"/>
    <w:rsid w:val="1EA41923"/>
    <w:rsid w:val="1F72088A"/>
    <w:rsid w:val="1FD55B0C"/>
    <w:rsid w:val="1FDD64D9"/>
    <w:rsid w:val="20112FE8"/>
    <w:rsid w:val="207B4905"/>
    <w:rsid w:val="20EC75B1"/>
    <w:rsid w:val="21821CC3"/>
    <w:rsid w:val="21F01AD7"/>
    <w:rsid w:val="225D1E12"/>
    <w:rsid w:val="22811BC0"/>
    <w:rsid w:val="23DA5DE6"/>
    <w:rsid w:val="23E822B1"/>
    <w:rsid w:val="24101808"/>
    <w:rsid w:val="250F2FA2"/>
    <w:rsid w:val="25E60A73"/>
    <w:rsid w:val="26E26AAC"/>
    <w:rsid w:val="27870033"/>
    <w:rsid w:val="293B10D5"/>
    <w:rsid w:val="2A4C6D92"/>
    <w:rsid w:val="2AEF6459"/>
    <w:rsid w:val="2B147E30"/>
    <w:rsid w:val="2B8613F2"/>
    <w:rsid w:val="2C6F1319"/>
    <w:rsid w:val="2E6B5176"/>
    <w:rsid w:val="2F032177"/>
    <w:rsid w:val="2F794705"/>
    <w:rsid w:val="308C05DF"/>
    <w:rsid w:val="313034EA"/>
    <w:rsid w:val="31606055"/>
    <w:rsid w:val="31CF5279"/>
    <w:rsid w:val="32492AC3"/>
    <w:rsid w:val="334B2928"/>
    <w:rsid w:val="33CF758C"/>
    <w:rsid w:val="35215623"/>
    <w:rsid w:val="371807ED"/>
    <w:rsid w:val="3736112E"/>
    <w:rsid w:val="384F06F9"/>
    <w:rsid w:val="38820ABF"/>
    <w:rsid w:val="38861FAB"/>
    <w:rsid w:val="390F0422"/>
    <w:rsid w:val="39CF4C1E"/>
    <w:rsid w:val="3AB24230"/>
    <w:rsid w:val="3DB17760"/>
    <w:rsid w:val="3FCE0E18"/>
    <w:rsid w:val="3FDA0DE9"/>
    <w:rsid w:val="42215201"/>
    <w:rsid w:val="43290B76"/>
    <w:rsid w:val="43947AC8"/>
    <w:rsid w:val="44666B79"/>
    <w:rsid w:val="4476700E"/>
    <w:rsid w:val="45A7568D"/>
    <w:rsid w:val="45D56FCB"/>
    <w:rsid w:val="460F771A"/>
    <w:rsid w:val="490C7F41"/>
    <w:rsid w:val="4920126D"/>
    <w:rsid w:val="49B900A4"/>
    <w:rsid w:val="4B553B41"/>
    <w:rsid w:val="4BCD7E5B"/>
    <w:rsid w:val="4C7F728B"/>
    <w:rsid w:val="4DB50BA7"/>
    <w:rsid w:val="4E8A6653"/>
    <w:rsid w:val="4E8F13F8"/>
    <w:rsid w:val="50FB3D29"/>
    <w:rsid w:val="523C3645"/>
    <w:rsid w:val="526C3AC7"/>
    <w:rsid w:val="53A33E25"/>
    <w:rsid w:val="56310FE7"/>
    <w:rsid w:val="579D445B"/>
    <w:rsid w:val="57D1482F"/>
    <w:rsid w:val="58185272"/>
    <w:rsid w:val="58347A0F"/>
    <w:rsid w:val="59F120D7"/>
    <w:rsid w:val="5A897643"/>
    <w:rsid w:val="5AD07020"/>
    <w:rsid w:val="5AD84501"/>
    <w:rsid w:val="5B3B6B74"/>
    <w:rsid w:val="5B3E5B74"/>
    <w:rsid w:val="5B822014"/>
    <w:rsid w:val="5D0A5B8C"/>
    <w:rsid w:val="5D681792"/>
    <w:rsid w:val="5DB502D1"/>
    <w:rsid w:val="5EE054CC"/>
    <w:rsid w:val="60DB04CD"/>
    <w:rsid w:val="613320B7"/>
    <w:rsid w:val="61E3588B"/>
    <w:rsid w:val="629C5896"/>
    <w:rsid w:val="62AB0677"/>
    <w:rsid w:val="636E5628"/>
    <w:rsid w:val="638A4F49"/>
    <w:rsid w:val="63F91396"/>
    <w:rsid w:val="656211BC"/>
    <w:rsid w:val="65E7115D"/>
    <w:rsid w:val="66A575B3"/>
    <w:rsid w:val="69360996"/>
    <w:rsid w:val="6AB4327C"/>
    <w:rsid w:val="6AEB3A02"/>
    <w:rsid w:val="6AF41D54"/>
    <w:rsid w:val="6C156F89"/>
    <w:rsid w:val="6DAC7479"/>
    <w:rsid w:val="6DC45FEC"/>
    <w:rsid w:val="6FB76088"/>
    <w:rsid w:val="701337DF"/>
    <w:rsid w:val="70DA234C"/>
    <w:rsid w:val="71157D6E"/>
    <w:rsid w:val="71CA25C3"/>
    <w:rsid w:val="720F6228"/>
    <w:rsid w:val="735C549D"/>
    <w:rsid w:val="73BC349A"/>
    <w:rsid w:val="742E5726"/>
    <w:rsid w:val="74EE65C9"/>
    <w:rsid w:val="75A66EA3"/>
    <w:rsid w:val="76562678"/>
    <w:rsid w:val="77570618"/>
    <w:rsid w:val="78C53AE4"/>
    <w:rsid w:val="78D8569F"/>
    <w:rsid w:val="78FA19E0"/>
    <w:rsid w:val="7A552C46"/>
    <w:rsid w:val="7A676550"/>
    <w:rsid w:val="7B09415C"/>
    <w:rsid w:val="7D3B4375"/>
    <w:rsid w:val="7EBC1535"/>
    <w:rsid w:val="7EFA1C69"/>
    <w:rsid w:val="7FA04963"/>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37">
    <w:name w:val="font41"/>
    <w:basedOn w:val="20"/>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18872</Words>
  <Characters>20425</Characters>
  <Lines>154</Lines>
  <Paragraphs>43</Paragraphs>
  <TotalTime>7</TotalTime>
  <ScaleCrop>false</ScaleCrop>
  <LinksUpToDate>false</LinksUpToDate>
  <CharactersWithSpaces>23396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2024-12-20T09:04:02Z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A92C1BBA58B24DBDB6419F13D6A75CAD_13</vt:lpwstr>
  </property>
</Properties>
</file>