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宋体" w:hAnsi="宋体"/>
          <w:b/>
          <w:color w:val="000000"/>
          <w:sz w:val="52"/>
          <w:szCs w:val="52"/>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81</w:t>
      </w:r>
    </w:p>
    <w:p>
      <w:pPr>
        <w:spacing w:line="360" w:lineRule="auto"/>
        <w:jc w:val="center"/>
        <w:rPr>
          <w:rFonts w:hint="eastAsia" w:ascii="宋体" w:hAnsi="宋体"/>
          <w:b/>
          <w:color w:val="000000"/>
          <w:sz w:val="52"/>
          <w:szCs w:val="52"/>
          <w:lang w:val="en-US" w:eastAsia="zh-CN"/>
        </w:rPr>
      </w:pPr>
    </w:p>
    <w:p>
      <w:pPr>
        <w:spacing w:line="360" w:lineRule="auto"/>
        <w:jc w:val="center"/>
        <w:rPr>
          <w:rFonts w:hint="eastAsia" w:ascii="宋体" w:hAnsi="宋体"/>
          <w:b/>
          <w:color w:val="000000"/>
          <w:sz w:val="52"/>
          <w:szCs w:val="52"/>
        </w:rPr>
      </w:pPr>
      <w:r>
        <w:rPr>
          <w:rFonts w:hint="eastAsia" w:ascii="宋体" w:hAnsi="宋体"/>
          <w:b/>
          <w:color w:val="000000"/>
          <w:sz w:val="52"/>
          <w:szCs w:val="52"/>
          <w:lang w:val="en-US" w:eastAsia="zh-CN"/>
        </w:rPr>
        <w:t>市人才公寓监控系统维修项目</w:t>
      </w:r>
    </w:p>
    <w:p>
      <w:pPr>
        <w:spacing w:line="360" w:lineRule="auto"/>
        <w:jc w:val="both"/>
        <w:rPr>
          <w:rFonts w:ascii="宋体" w:hAnsi="宋体"/>
          <w:b/>
          <w:color w:val="000000"/>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18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12</w:t>
      </w:r>
      <w:r>
        <w:rPr>
          <w:rFonts w:ascii="Times New Roman" w:hAnsi="Times New Roman"/>
          <w:b/>
          <w:sz w:val="28"/>
          <w:szCs w:val="28"/>
        </w:rPr>
        <w:t>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8"/>
          <w:szCs w:val="28"/>
          <w:highlight w:val="none"/>
        </w:rPr>
      </w:pPr>
    </w:p>
    <w:p>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5" w:type="first"/>
          <w:headerReference r:id="rId3" w:type="default"/>
          <w:footerReference r:id="rId4" w:type="default"/>
          <w:pgSz w:w="11906" w:h="16840"/>
          <w:pgMar w:top="1440" w:right="1800" w:bottom="1440" w:left="1746" w:header="851" w:footer="992" w:gutter="0"/>
          <w:pgNumType w:fmt="decimal"/>
          <w:cols w:space="720" w:num="1"/>
          <w:titlePg/>
          <w:docGrid w:type="linesAndChars" w:linePitch="312" w:charSpace="0"/>
        </w:sectPr>
      </w:pPr>
    </w:p>
    <w:p>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pPr>
        <w:pStyle w:val="22"/>
        <w:jc w:val="center"/>
        <w:rPr>
          <w:rFonts w:hint="eastAsia" w:ascii="方正小标宋_GBK" w:hAnsi="方正小标宋_GBK" w:eastAsia="方正小标宋_GBK" w:cs="方正小标宋_GBK"/>
          <w:color w:val="auto"/>
          <w:sz w:val="44"/>
          <w:szCs w:val="44"/>
          <w:lang w:val="zh-CN"/>
        </w:rPr>
        <w:sectPr>
          <w:footerReference r:id="rId7" w:type="first"/>
          <w:footerReference r:id="rId6" w:type="default"/>
          <w:pgSz w:w="11906" w:h="16840"/>
          <w:pgMar w:top="1440" w:right="1800" w:bottom="1440" w:left="1746" w:header="851" w:footer="992" w:gutter="0"/>
          <w:pgNumType w:fmt="decimal"/>
          <w:cols w:space="720" w:num="1"/>
          <w:docGrid w:type="linesAndChars" w:linePitch="312" w:charSpace="0"/>
        </w:sectPr>
      </w:pPr>
    </w:p>
    <w:p>
      <w:pPr>
        <w:pStyle w:val="22"/>
        <w:numPr>
          <w:ilvl w:val="0"/>
          <w:numId w:val="0"/>
        </w:numPr>
        <w:ind w:left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  录</w:t>
      </w:r>
    </w:p>
    <w:p>
      <w:pPr>
        <w:pStyle w:val="13"/>
        <w:tabs>
          <w:tab w:val="right" w:leader="dot" w:pos="9997"/>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"_Toc96804713"</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第一章  询价</w:t>
      </w:r>
      <w:bookmarkStart w:id="0" w:name="_Hlt96805642"/>
      <w:bookmarkStart w:id="1" w:name="_Hlt96805641"/>
      <w:r>
        <w:rPr>
          <w:rStyle w:val="20"/>
          <w:rFonts w:ascii="宋体" w:hAnsi="宋体"/>
          <w:sz w:val="28"/>
          <w:szCs w:val="28"/>
        </w:rPr>
        <w:t>邀</w:t>
      </w:r>
      <w:bookmarkEnd w:id="0"/>
      <w:bookmarkEnd w:id="1"/>
      <w:r>
        <w:rPr>
          <w:rStyle w:val="20"/>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Style w:val="20"/>
          <w:rFonts w:ascii="宋体" w:hAnsi="宋体"/>
          <w:sz w:val="28"/>
          <w:szCs w:val="28"/>
        </w:rPr>
        <w:fldChar w:fldCharType="end"/>
      </w:r>
    </w:p>
    <w:p>
      <w:pPr>
        <w:pStyle w:val="13"/>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"_Toc96804714"</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第二章  询价须</w:t>
      </w:r>
      <w:bookmarkStart w:id="2" w:name="_Hlt96805645"/>
      <w:r>
        <w:rPr>
          <w:rStyle w:val="20"/>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Style w:val="20"/>
          <w:rFonts w:ascii="宋体" w:hAnsi="宋体"/>
          <w:sz w:val="28"/>
          <w:szCs w:val="28"/>
        </w:rPr>
        <w:fldChar w:fldCharType="end"/>
      </w:r>
    </w:p>
    <w:p>
      <w:pPr>
        <w:pStyle w:val="13"/>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"_Toc96804765"</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第三章  采购</w:t>
      </w:r>
      <w:bookmarkStart w:id="3" w:name="_Hlt96805649"/>
      <w:r>
        <w:rPr>
          <w:rStyle w:val="20"/>
          <w:rFonts w:ascii="宋体" w:hAnsi="宋体"/>
          <w:sz w:val="28"/>
          <w:szCs w:val="28"/>
        </w:rPr>
        <w:t>人</w:t>
      </w:r>
      <w:bookmarkEnd w:id="3"/>
      <w:r>
        <w:rPr>
          <w:rStyle w:val="20"/>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Style w:val="20"/>
          <w:rFonts w:ascii="宋体" w:hAnsi="宋体"/>
          <w:sz w:val="28"/>
          <w:szCs w:val="28"/>
        </w:rPr>
        <w:fldChar w:fldCharType="end"/>
      </w:r>
    </w:p>
    <w:p>
      <w:pPr>
        <w:pStyle w:val="13"/>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"_Toc96804767"</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cs="宋体"/>
          <w:sz w:val="28"/>
          <w:szCs w:val="28"/>
        </w:rPr>
        <w:t>第</w:t>
      </w:r>
      <w:r>
        <w:rPr>
          <w:rStyle w:val="20"/>
          <w:rFonts w:hint="eastAsia" w:ascii="宋体" w:hAnsi="宋体" w:cs="宋体"/>
          <w:sz w:val="28"/>
          <w:szCs w:val="28"/>
          <w:lang w:eastAsia="zh-CN"/>
        </w:rPr>
        <w:t>四</w:t>
      </w:r>
      <w:r>
        <w:rPr>
          <w:rStyle w:val="20"/>
          <w:rFonts w:ascii="宋体" w:hAnsi="宋体" w:cs="宋体"/>
          <w:sz w:val="28"/>
          <w:szCs w:val="28"/>
        </w:rPr>
        <w:t>章  报价</w:t>
      </w:r>
      <w:bookmarkStart w:id="4" w:name="_Hlt96805658"/>
      <w:r>
        <w:rPr>
          <w:rStyle w:val="20"/>
          <w:rFonts w:ascii="宋体" w:hAnsi="宋体" w:cs="宋体"/>
          <w:sz w:val="28"/>
          <w:szCs w:val="28"/>
        </w:rPr>
        <w:t>要</w:t>
      </w:r>
      <w:bookmarkEnd w:id="4"/>
      <w:r>
        <w:rPr>
          <w:rStyle w:val="20"/>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21</w:t>
      </w:r>
      <w:r>
        <w:rPr>
          <w:rFonts w:ascii="宋体" w:hAnsi="宋体"/>
          <w:sz w:val="28"/>
          <w:szCs w:val="28"/>
        </w:rPr>
        <w:fldChar w:fldCharType="end"/>
      </w:r>
      <w:r>
        <w:rPr>
          <w:rStyle w:val="20"/>
          <w:rFonts w:ascii="宋体" w:hAnsi="宋体"/>
          <w:sz w:val="28"/>
          <w:szCs w:val="28"/>
        </w:rPr>
        <w:fldChar w:fldCharType="end"/>
      </w:r>
    </w:p>
    <w:p>
      <w:pPr>
        <w:pStyle w:val="13"/>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"_Toc96804768"</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五</w:t>
      </w:r>
      <w:r>
        <w:rPr>
          <w:rStyle w:val="20"/>
          <w:rFonts w:ascii="宋体" w:hAnsi="宋体"/>
          <w:sz w:val="28"/>
          <w:szCs w:val="28"/>
        </w:rPr>
        <w:t>章  响应</w:t>
      </w:r>
      <w:bookmarkStart w:id="5" w:name="_Hlt96805662"/>
      <w:r>
        <w:rPr>
          <w:rStyle w:val="20"/>
          <w:rFonts w:ascii="宋体" w:hAnsi="宋体"/>
          <w:sz w:val="28"/>
          <w:szCs w:val="28"/>
        </w:rPr>
        <w:t>文</w:t>
      </w:r>
      <w:bookmarkEnd w:id="5"/>
      <w:r>
        <w:rPr>
          <w:rStyle w:val="20"/>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Style w:val="20"/>
          <w:rFonts w:ascii="宋体" w:hAnsi="宋体"/>
          <w:sz w:val="28"/>
          <w:szCs w:val="28"/>
        </w:rPr>
        <w:fldChar w:fldCharType="end"/>
      </w:r>
    </w:p>
    <w:p>
      <w:pPr>
        <w:pStyle w:val="13"/>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"_Toc96804769"</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六</w:t>
      </w:r>
      <w:r>
        <w:rPr>
          <w:rStyle w:val="20"/>
          <w:rFonts w:ascii="宋体" w:hAnsi="宋体"/>
          <w:sz w:val="28"/>
          <w:szCs w:val="28"/>
        </w:rPr>
        <w:t>章  评审</w:t>
      </w:r>
      <w:bookmarkStart w:id="6" w:name="_Hlt96805668"/>
      <w:r>
        <w:rPr>
          <w:rStyle w:val="20"/>
          <w:rFonts w:ascii="宋体" w:hAnsi="宋体"/>
          <w:sz w:val="28"/>
          <w:szCs w:val="28"/>
        </w:rPr>
        <w:t>方</w:t>
      </w:r>
      <w:bookmarkEnd w:id="6"/>
      <w:r>
        <w:rPr>
          <w:rStyle w:val="20"/>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36</w:t>
      </w:r>
      <w:r>
        <w:rPr>
          <w:rFonts w:ascii="宋体" w:hAnsi="宋体"/>
          <w:sz w:val="28"/>
          <w:szCs w:val="28"/>
        </w:rPr>
        <w:fldChar w:fldCharType="end"/>
      </w:r>
      <w:r>
        <w:rPr>
          <w:rStyle w:val="20"/>
          <w:rFonts w:ascii="宋体" w:hAnsi="宋体"/>
          <w:sz w:val="28"/>
          <w:szCs w:val="28"/>
        </w:rPr>
        <w:fldChar w:fldCharType="end"/>
      </w:r>
    </w:p>
    <w:p>
      <w:pPr>
        <w:pStyle w:val="13"/>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"_Toc96804770"</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七</w:t>
      </w:r>
      <w:r>
        <w:rPr>
          <w:rStyle w:val="20"/>
          <w:rFonts w:ascii="宋体" w:hAnsi="宋体"/>
          <w:sz w:val="28"/>
          <w:szCs w:val="28"/>
        </w:rPr>
        <w:t>章  采购合</w:t>
      </w:r>
      <w:bookmarkStart w:id="7" w:name="_Hlt96805675"/>
      <w:r>
        <w:rPr>
          <w:rStyle w:val="20"/>
          <w:rFonts w:ascii="宋体" w:hAnsi="宋体"/>
          <w:sz w:val="28"/>
          <w:szCs w:val="28"/>
        </w:rPr>
        <w:t>同</w:t>
      </w:r>
      <w:bookmarkEnd w:id="7"/>
      <w:r>
        <w:rPr>
          <w:rStyle w:val="20"/>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42</w:t>
      </w:r>
      <w:r>
        <w:rPr>
          <w:rFonts w:ascii="宋体" w:hAnsi="宋体"/>
          <w:sz w:val="28"/>
          <w:szCs w:val="28"/>
        </w:rPr>
        <w:fldChar w:fldCharType="end"/>
      </w:r>
      <w:r>
        <w:rPr>
          <w:rStyle w:val="20"/>
          <w:rFonts w:ascii="宋体" w:hAnsi="宋体"/>
          <w:sz w:val="28"/>
          <w:szCs w:val="28"/>
        </w:rPr>
        <w:fldChar w:fldCharType="end"/>
      </w:r>
    </w:p>
    <w:p>
      <w:pPr>
        <w:rPr>
          <w:rFonts w:ascii="宋体" w:hAnsi="宋体"/>
        </w:rPr>
      </w:pPr>
      <w:r>
        <w:rPr>
          <w:rFonts w:ascii="宋体" w:hAnsi="宋体"/>
          <w:b/>
          <w:bCs/>
          <w:lang w:val="zh-CN"/>
        </w:rPr>
        <w:fldChar w:fldCharType="end"/>
      </w:r>
    </w:p>
    <w:p>
      <w:pPr>
        <w:jc w:val="center"/>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pStyle w:val="16"/>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sectPr>
          <w:footerReference r:id="rId8" w:type="default"/>
          <w:pgSz w:w="11906" w:h="16840"/>
          <w:pgMar w:top="1440" w:right="1800" w:bottom="1440" w:left="1746" w:header="851" w:footer="992" w:gutter="0"/>
          <w:pgNumType w:fmt="decimal"/>
          <w:cols w:space="720" w:num="1"/>
          <w:docGrid w:type="linesAndChars" w:linePitch="312" w:charSpace="0"/>
        </w:sectPr>
      </w:pPr>
      <w:bookmarkStart w:id="8" w:name="_Toc96804713"/>
    </w:p>
    <w:p>
      <w:pPr>
        <w:pStyle w:val="16"/>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r>
        <w:rPr>
          <w:rFonts w:hint="eastAsia" w:ascii="宋体" w:hAnsi="宋体"/>
        </w:rPr>
        <w:t>第一章  询价邀请</w:t>
      </w:r>
      <w:bookmarkEnd w:id="8"/>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left"/>
        <w:textAlignment w:val="auto"/>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市人才公寓监控系统维修项目</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default" w:ascii="Times New Roman" w:hAnsi="Times New Roman" w:cs="Times New Roman"/>
          <w:color w:val="auto"/>
          <w:sz w:val="24"/>
          <w:highlight w:val="none"/>
        </w:rPr>
        <w:t>JS20240</w:t>
      </w:r>
      <w:r>
        <w:rPr>
          <w:rFonts w:hint="eastAsia" w:ascii="Times New Roman" w:hAnsi="Times New Roman" w:cs="Times New Roman"/>
          <w:color w:val="auto"/>
          <w:sz w:val="24"/>
          <w:highlight w:val="none"/>
          <w:lang w:val="en-US" w:eastAsia="zh-CN"/>
        </w:rPr>
        <w:t>81</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市人才公寓监控系统维修项目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spacing w:line="360" w:lineRule="auto"/>
        <w:ind w:firstLine="480"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宋体" w:hAnsi="宋体"/>
          <w:b/>
          <w:bCs/>
          <w:sz w:val="24"/>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w:t>
      </w:r>
      <w:r>
        <w:rPr>
          <w:rFonts w:hint="eastAsia" w:ascii="Times New Roman" w:hAnsi="Times New Roman"/>
          <w:color w:val="auto"/>
          <w:sz w:val="24"/>
          <w:highlight w:val="none"/>
          <w:u w:val="single"/>
        </w:rPr>
        <w:t>限价为</w:t>
      </w:r>
      <w:r>
        <w:rPr>
          <w:rFonts w:hint="eastAsia" w:ascii="Times New Roman" w:hAnsi="Times New Roman"/>
          <w:color w:val="auto"/>
          <w:sz w:val="24"/>
          <w:highlight w:val="none"/>
          <w:u w:val="single"/>
          <w:lang w:val="en-US" w:eastAsia="zh-CN"/>
        </w:rPr>
        <w:t>6.29</w:t>
      </w:r>
      <w:r>
        <w:rPr>
          <w:rFonts w:hint="eastAsia" w:ascii="Times New Roman" w:hAnsi="Times New Roman"/>
          <w:color w:val="auto"/>
          <w:sz w:val="24"/>
          <w:highlight w:val="none"/>
          <w:u w:val="single"/>
        </w:rPr>
        <w:t>万元，</w:t>
      </w:r>
      <w:r>
        <w:rPr>
          <w:rFonts w:hint="eastAsia" w:ascii="Times New Roman" w:hAnsi="Times New Roman"/>
          <w:color w:val="auto"/>
          <w:sz w:val="24"/>
          <w:u w:val="single"/>
        </w:rPr>
        <w:t>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以实际交货数量进行结算。</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bookmarkStart w:id="93" w:name="_GoBack"/>
      <w:bookmarkEnd w:id="9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sz w:val="24"/>
          <w:highlight w:val="none"/>
          <w:lang w:eastAsia="zh-CN"/>
        </w:rPr>
        <w:t>项目内容为：</w:t>
      </w:r>
      <w:r>
        <w:rPr>
          <w:rFonts w:hint="eastAsia" w:cs="Times New Roman"/>
          <w:color w:val="auto"/>
          <w:spacing w:val="-4"/>
          <w:sz w:val="24"/>
          <w:highlight w:val="none"/>
          <w:lang w:val="en-US" w:eastAsia="zh-CN"/>
        </w:rPr>
        <w:t>对市人才公寓监控系统开展维修工作，选聘监控系统维修供应商</w:t>
      </w:r>
      <w:r>
        <w:rPr>
          <w:rFonts w:hint="default" w:cs="Times New Roman"/>
          <w:color w:val="auto"/>
          <w:spacing w:val="-4"/>
          <w:sz w:val="24"/>
          <w:highlight w:val="none"/>
          <w:lang w:val="en-US" w:eastAsia="zh-CN"/>
        </w:rPr>
        <w:t>。</w:t>
      </w:r>
      <w:r>
        <w:rPr>
          <w:rFonts w:hint="eastAsia" w:ascii="Times New Roman" w:hAnsi="Times New Roman"/>
          <w:sz w:val="24"/>
        </w:rPr>
        <w:t>（</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pPr>
        <w:spacing w:line="360" w:lineRule="auto"/>
        <w:ind w:firstLine="480" w:firstLineChars="200"/>
        <w:rPr>
          <w:rFonts w:ascii="Times New Roman" w:hAnsi="Times New Roman"/>
          <w:sz w:val="24"/>
        </w:rPr>
      </w:pPr>
      <w:bookmarkStart w:id="9"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8.</w:t>
      </w:r>
      <w:r>
        <w:rPr>
          <w:rFonts w:hint="eastAsia" w:ascii="Times New Roman" w:hAnsi="Times New Roman" w:eastAsia="宋体" w:cs="Times New Roman"/>
          <w:kern w:val="2"/>
          <w:sz w:val="24"/>
          <w:szCs w:val="24"/>
          <w:lang w:val="en-US" w:eastAsia="zh-CN" w:bidi="ar-SA"/>
        </w:rPr>
        <w:t>在采购人处没有不良施工记录或拖欠农民工工资情形</w:t>
      </w:r>
      <w:r>
        <w:rPr>
          <w:rFonts w:hint="eastAsia" w:ascii="Times New Roman" w:hAnsi="Times New Roman" w:cs="Times New Roman"/>
          <w:kern w:val="2"/>
          <w:sz w:val="24"/>
          <w:szCs w:val="24"/>
          <w:lang w:val="en-US" w:eastAsia="zh-CN" w:bidi="ar-SA"/>
        </w:rPr>
        <w:t>；</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9.</w:t>
      </w:r>
      <w:r>
        <w:rPr>
          <w:rFonts w:hint="eastAsia" w:ascii="Times New Roman" w:hAnsi="Times New Roman" w:eastAsia="宋体" w:cs="Times New Roman"/>
          <w:kern w:val="2"/>
          <w:sz w:val="24"/>
          <w:szCs w:val="24"/>
          <w:lang w:val="en-US" w:eastAsia="zh-CN" w:bidi="ar-SA"/>
        </w:rPr>
        <w:t>近三年（2021年1月1日以来）提供的服务未因重大执业质量等问题受到各级国资监管部门通报；</w:t>
      </w:r>
    </w:p>
    <w:p>
      <w:pPr>
        <w:spacing w:line="360" w:lineRule="auto"/>
        <w:ind w:firstLine="480" w:firstLineChars="200"/>
        <w:rPr>
          <w:rFonts w:ascii="Times New Roman" w:hAnsi="Times New Roman"/>
          <w:sz w:val="24"/>
        </w:rPr>
      </w:pPr>
      <w:r>
        <w:rPr>
          <w:rFonts w:hint="eastAsia" w:ascii="Times New Roman" w:hAnsi="Times New Roman"/>
          <w:sz w:val="24"/>
          <w:lang w:val="en-US" w:eastAsia="zh-CN"/>
        </w:rPr>
        <w:t>10</w:t>
      </w:r>
      <w:r>
        <w:rPr>
          <w:rFonts w:ascii="Times New Roman" w:hAnsi="Times New Roman"/>
          <w:sz w:val="24"/>
        </w:rPr>
        <w:t>.单位、现任法定代表人或主要负责人无行贿犯罪记录；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lang w:val="en-US" w:eastAsia="zh-CN"/>
        </w:rPr>
        <w:t>11</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2</w:t>
      </w:r>
      <w:r>
        <w:rPr>
          <w:rFonts w:hint="eastAsia" w:ascii="Times New Roman" w:hAnsi="Times New Roman"/>
          <w:sz w:val="24"/>
        </w:rPr>
        <w:t>.本项目不允许联合体参加。</w:t>
      </w:r>
    </w:p>
    <w:bookmarkEnd w:id="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lang w:val="en-US" w:eastAsia="zh-CN"/>
        </w:rPr>
        <w:t>询价文件</w:t>
      </w:r>
      <w:r>
        <w:rPr>
          <w:rFonts w:hint="eastAsia" w:ascii="宋体" w:hAnsi="宋体"/>
          <w:sz w:val="24"/>
          <w:highlight w:val="none"/>
          <w:lang w:val="en-US" w:eastAsia="zh-CN"/>
        </w:rPr>
        <w:t>自</w:t>
      </w:r>
      <w:r>
        <w:rPr>
          <w:rFonts w:hint="eastAsia" w:ascii="宋体" w:hAnsi="宋体"/>
          <w:b/>
          <w:bCs/>
          <w:sz w:val="24"/>
          <w:highlight w:val="none"/>
          <w:lang w:val="en-US" w:eastAsia="zh-CN"/>
        </w:rPr>
        <w:t>2024年12月13日09:00至2024年12月16日15:30</w:t>
      </w:r>
      <w:r>
        <w:rPr>
          <w:rFonts w:hint="eastAsia" w:ascii="宋体" w:hAnsi="宋体"/>
          <w:sz w:val="24"/>
          <w:highlight w:val="none"/>
          <w:lang w:val="en-US" w:eastAsia="zh-CN"/>
        </w:rPr>
        <w:t>（北</w:t>
      </w:r>
      <w:r>
        <w:rPr>
          <w:rFonts w:hint="eastAsia" w:ascii="宋体" w:hAnsi="宋体"/>
          <w:sz w:val="24"/>
          <w:highlight w:val="none"/>
        </w:rPr>
        <w:t>京时间）在</w:t>
      </w:r>
      <w:r>
        <w:rPr>
          <w:rFonts w:hint="eastAsia" w:ascii="宋体" w:hAnsi="宋体"/>
          <w:sz w:val="24"/>
          <w:highlight w:val="none"/>
          <w:lang w:val="en-US" w:eastAsia="zh-CN"/>
        </w:rPr>
        <w:t>攀枝花市国有投资（集团）有限责任公司官网</w:t>
      </w:r>
      <w:r>
        <w:rPr>
          <w:rFonts w:hint="eastAsia" w:ascii="宋体" w:hAnsi="宋体"/>
          <w:sz w:val="24"/>
          <w:highlight w:val="none"/>
        </w:rPr>
        <w:t>（http://www.pzhguotou.com）</w:t>
      </w:r>
      <w:r>
        <w:rPr>
          <w:rFonts w:hint="eastAsia" w:ascii="宋体" w:hAnsi="宋体"/>
          <w:sz w:val="24"/>
          <w:highlight w:val="none"/>
          <w:lang w:val="en-US" w:eastAsia="zh-CN"/>
        </w:rPr>
        <w:t>---“阳光招采”板块查询项目名称自行下载获取</w:t>
      </w:r>
      <w:r>
        <w:rPr>
          <w:rFonts w:hint="eastAsia" w:ascii="宋体" w:hAnsi="宋体"/>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本项目</w:t>
      </w:r>
      <w:r>
        <w:rPr>
          <w:rFonts w:hint="eastAsia" w:ascii="宋体" w:hAnsi="宋体"/>
          <w:sz w:val="24"/>
          <w:highlight w:val="none"/>
          <w:lang w:eastAsia="zh-CN"/>
        </w:rPr>
        <w:t>询价</w:t>
      </w:r>
      <w:r>
        <w:rPr>
          <w:rFonts w:hint="eastAsia" w:ascii="宋体" w:hAnsi="宋体"/>
          <w:sz w:val="24"/>
          <w:highlight w:val="none"/>
        </w:rPr>
        <w:t>文件费用：</w:t>
      </w:r>
      <w:r>
        <w:rPr>
          <w:rFonts w:hint="eastAsia" w:ascii="宋体" w:hAnsi="宋体"/>
          <w:sz w:val="24"/>
          <w:highlight w:val="none"/>
          <w:lang w:val="en-US" w:eastAsia="zh-CN"/>
        </w:rPr>
        <w:t>本次不收取询价文件费用</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highlight w:val="none"/>
        </w:rPr>
        <w:t>八、递交响应文件</w:t>
      </w:r>
      <w:r>
        <w:rPr>
          <w:rFonts w:hint="eastAsia" w:ascii="宋体" w:hAnsi="宋体"/>
          <w:b/>
          <w:color w:val="000000"/>
          <w:sz w:val="24"/>
          <w:highlight w:val="none"/>
        </w:rPr>
        <w:t>截止时间：</w:t>
      </w:r>
      <w:r>
        <w:rPr>
          <w:rFonts w:hint="eastAsia" w:ascii="宋体" w:hAnsi="宋体"/>
          <w:b/>
          <w:bCs/>
          <w:sz w:val="24"/>
          <w:highlight w:val="none"/>
          <w:lang w:val="en-US" w:eastAsia="zh-CN"/>
        </w:rPr>
        <w:t>2024年12月16日15:30</w:t>
      </w:r>
      <w:r>
        <w:rPr>
          <w:rFonts w:ascii="宋体" w:hAnsi="宋体"/>
          <w:color w:val="000000"/>
          <w:sz w:val="24"/>
          <w:szCs w:val="28"/>
          <w:highlight w:val="none"/>
        </w:rPr>
        <w:t>（北京</w:t>
      </w:r>
      <w:r>
        <w:rPr>
          <w:rFonts w:ascii="宋体" w:hAnsi="宋体"/>
          <w:color w:val="000000"/>
          <w:sz w:val="24"/>
          <w:szCs w:val="28"/>
        </w:rPr>
        <w:t>时间）</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十一、询价</w:t>
      </w:r>
      <w:r>
        <w:rPr>
          <w:rFonts w:ascii="宋体" w:hAnsi="宋体"/>
          <w:b/>
          <w:color w:val="000000"/>
          <w:sz w:val="24"/>
          <w:szCs w:val="28"/>
        </w:rPr>
        <w:t>地点：</w:t>
      </w:r>
      <w:r>
        <w:rPr>
          <w:rFonts w:hint="eastAsia" w:ascii="宋体" w:hAnsi="宋体"/>
          <w:b/>
          <w:bCs/>
          <w:color w:val="000000"/>
          <w:sz w:val="24"/>
          <w:szCs w:val="28"/>
          <w:u w:val="single"/>
        </w:rPr>
        <w:t>攀枝花市东区三线大道北段118号2栋</w:t>
      </w:r>
      <w:r>
        <w:rPr>
          <w:rFonts w:hint="eastAsia" w:ascii="宋体" w:hAnsi="宋体"/>
          <w:b/>
          <w:bCs/>
          <w:color w:val="000000"/>
          <w:sz w:val="24"/>
          <w:szCs w:val="28"/>
          <w:u w:val="single"/>
          <w:lang w:val="en-US" w:eastAsia="zh-CN"/>
        </w:rPr>
        <w:t>516</w:t>
      </w:r>
      <w:r>
        <w:rPr>
          <w:rFonts w:hint="eastAsia" w:ascii="宋体" w:hAnsi="宋体"/>
          <w:b/>
          <w:bCs/>
          <w:color w:val="000000"/>
          <w:sz w:val="24"/>
          <w:szCs w:val="28"/>
          <w:u w:val="single"/>
        </w:rPr>
        <w:t>室</w:t>
      </w:r>
      <w:r>
        <w:rPr>
          <w:rFonts w:hint="eastAsia" w:ascii="宋体" w:hAnsi="宋体"/>
          <w:b/>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十二、联系方式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采购人：</w:t>
      </w:r>
      <w:r>
        <w:rPr>
          <w:rFonts w:hint="eastAsia" w:ascii="宋体" w:hAnsi="宋体"/>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r>
        <w:rPr>
          <w:rFonts w:hint="eastAsia" w:ascii="Times New Roman" w:hAnsi="Times New Roman" w:eastAsia="宋体" w:cs="Times New Roman"/>
          <w:color w:val="auto"/>
          <w:kern w:val="0"/>
          <w:sz w:val="24"/>
          <w:highlight w:val="none"/>
          <w:lang w:val="en-US" w:eastAsia="zh-CN"/>
        </w:rPr>
        <w:t>5楼</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cs="Times New Roman"/>
          <w:color w:val="auto"/>
          <w:kern w:val="0"/>
          <w:sz w:val="24"/>
          <w:highlight w:val="none"/>
          <w:lang w:val="en-US" w:eastAsia="zh-CN"/>
        </w:rPr>
        <w:t>杨</w:t>
      </w:r>
      <w:r>
        <w:rPr>
          <w:rFonts w:hint="eastAsia"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eastAsia="宋体" w:cs="Times New Roman"/>
          <w:color w:val="auto"/>
          <w:kern w:val="0"/>
          <w:sz w:val="24"/>
          <w:highlight w:val="none"/>
          <w:lang w:val="en-US" w:eastAsia="zh-CN"/>
        </w:rPr>
        <w:t>1</w:t>
      </w:r>
      <w:r>
        <w:rPr>
          <w:rFonts w:hint="eastAsia" w:cs="Times New Roman"/>
          <w:color w:val="auto"/>
          <w:kern w:val="0"/>
          <w:sz w:val="24"/>
          <w:highlight w:val="none"/>
          <w:lang w:val="en-US" w:eastAsia="zh-CN"/>
        </w:rPr>
        <w:t>8982349096</w:t>
      </w:r>
    </w:p>
    <w:p>
      <w:pPr>
        <w:pStyle w:val="7"/>
        <w:spacing w:line="360" w:lineRule="auto"/>
        <w:ind w:left="0" w:leftChars="0"/>
        <w:rPr>
          <w:rFonts w:ascii="宋体" w:hAnsi="宋体"/>
          <w:b/>
          <w:bCs/>
        </w:rPr>
      </w:pPr>
    </w:p>
    <w:p>
      <w:pPr>
        <w:pStyle w:val="15"/>
        <w:spacing w:before="0" w:beforeAutospacing="0" w:after="0" w:afterAutospacing="0" w:line="360" w:lineRule="auto"/>
        <w:rPr>
          <w:rFonts w:hint="eastAsia"/>
          <w:color w:val="000000"/>
          <w:sz w:val="24"/>
          <w:szCs w:val="24"/>
        </w:rPr>
      </w:pPr>
      <w:r>
        <w:rPr>
          <w:rFonts w:hint="eastAsia"/>
          <w:color w:val="000000"/>
          <w:sz w:val="24"/>
          <w:szCs w:val="24"/>
        </w:rPr>
        <w:t xml:space="preserve"> </w:t>
      </w:r>
    </w:p>
    <w:p>
      <w:pPr>
        <w:pStyle w:val="15"/>
        <w:spacing w:before="0" w:beforeAutospacing="0" w:after="0" w:afterAutospacing="0" w:line="360" w:lineRule="auto"/>
        <w:rPr>
          <w:rFonts w:hint="eastAsia"/>
          <w:color w:val="000000"/>
          <w:sz w:val="24"/>
          <w:szCs w:val="24"/>
        </w:rPr>
      </w:pPr>
    </w:p>
    <w:p>
      <w:pPr>
        <w:pStyle w:val="15"/>
        <w:spacing w:before="0" w:beforeAutospacing="0" w:after="0" w:afterAutospacing="0" w:line="360" w:lineRule="auto"/>
        <w:rPr>
          <w:rFonts w:hint="eastAsia"/>
          <w:color w:val="000000"/>
          <w:sz w:val="24"/>
          <w:szCs w:val="24"/>
        </w:rPr>
      </w:pPr>
    </w:p>
    <w:p>
      <w:pPr>
        <w:pStyle w:val="4"/>
        <w:keepNext w:val="0"/>
        <w:keepLines w:val="0"/>
        <w:numPr>
          <w:ilvl w:val="0"/>
          <w:numId w:val="0"/>
        </w:numPr>
        <w:spacing w:line="360" w:lineRule="auto"/>
        <w:ind w:leftChars="0"/>
        <w:jc w:val="center"/>
        <w:rPr>
          <w:rFonts w:hint="eastAsia" w:ascii="宋体" w:hAnsi="宋体"/>
          <w:color w:val="000000"/>
          <w:sz w:val="36"/>
          <w:szCs w:val="36"/>
        </w:rPr>
      </w:pPr>
      <w:bookmarkStart w:id="10"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0"/>
    </w:p>
    <w:p>
      <w:pPr>
        <w:pStyle w:val="5"/>
        <w:keepNext w:val="0"/>
        <w:keepLines w:val="0"/>
        <w:numPr>
          <w:ilvl w:val="1"/>
          <w:numId w:val="0"/>
        </w:numPr>
        <w:spacing w:line="360" w:lineRule="auto"/>
        <w:ind w:left="425" w:leftChars="0"/>
        <w:jc w:val="both"/>
        <w:rPr>
          <w:rFonts w:hint="eastAsia" w:ascii="宋体" w:hAnsi="宋体" w:eastAsia="宋体"/>
          <w:color w:val="000000"/>
        </w:rPr>
      </w:pPr>
      <w:bookmarkStart w:id="11" w:name="_Toc96804715"/>
      <w:r>
        <w:rPr>
          <w:rFonts w:hint="eastAsia" w:ascii="宋体" w:hAnsi="宋体" w:eastAsia="宋体"/>
          <w:color w:val="000000"/>
        </w:rPr>
        <w:t>一、供应商须知附表</w:t>
      </w:r>
      <w:bookmarkEnd w:id="11"/>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采购预算</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采购预算：</w:t>
            </w:r>
            <w:r>
              <w:rPr>
                <w:rFonts w:hint="eastAsia"/>
                <w:color w:val="000000"/>
                <w:highlight w:val="none"/>
                <w:lang w:val="en-US" w:eastAsia="zh-CN"/>
              </w:rPr>
              <w:t>6.29</w:t>
            </w:r>
            <w:r>
              <w:rPr>
                <w:rFonts w:hint="eastAsia"/>
                <w:color w:val="000000"/>
                <w:highlight w:val="none"/>
                <w:lang w:val="zh-CN"/>
              </w:rPr>
              <w:t>万元（含税）；</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最高限价</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最高限价：</w:t>
            </w:r>
            <w:r>
              <w:rPr>
                <w:rFonts w:hint="eastAsia"/>
                <w:color w:val="000000"/>
                <w:highlight w:val="none"/>
                <w:lang w:val="en-US" w:eastAsia="zh-CN"/>
              </w:rPr>
              <w:t>6.29</w:t>
            </w:r>
            <w:r>
              <w:rPr>
                <w:rFonts w:hint="eastAsia"/>
                <w:color w:val="000000"/>
                <w:highlight w:val="none"/>
                <w:lang w:val="zh-CN"/>
              </w:rPr>
              <w:t>万元（含税）；</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ascii="Times New Roman" w:hAnsi="Times New Roman" w:cs="Times New Roman"/>
                <w:color w:val="auto"/>
                <w:sz w:val="24"/>
                <w:highlight w:val="none"/>
                <w:lang w:val="en-US" w:eastAsia="zh-CN"/>
              </w:rPr>
              <w:t>中</w:t>
            </w:r>
            <w:r>
              <w:rPr>
                <w:rFonts w:hint="eastAsia" w:ascii="Times New Roman" w:hAnsi="Times New Roman" w:cs="Times New Roman"/>
                <w:kern w:val="2"/>
                <w:lang w:val="en-US" w:eastAsia="zh-CN"/>
              </w:rPr>
              <w:t>或攀枝花国投大厦5楼公示栏</w:t>
            </w:r>
            <w:r>
              <w:rPr>
                <w:rFonts w:hint="eastAsia"/>
                <w:color w:val="000000"/>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pPr>
        <w:rPr>
          <w:rFonts w:hint="eastAsia" w:ascii="宋体" w:hAnsi="宋体"/>
        </w:rPr>
      </w:pP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12"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bookmarkStart w:id="13"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3"/>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rPr>
      </w:pPr>
      <w:bookmarkStart w:id="14" w:name="_Toc96804718"/>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4"/>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rPr>
      </w:pPr>
      <w:bookmarkStart w:id="15" w:name="_Toc96804719"/>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5"/>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6" w:name="_Toc96804720"/>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4.询价费用（实质性要求）</w:t>
      </w:r>
      <w:bookmarkEnd w:id="16"/>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7" w:name="_Toc96804721"/>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5.充分、公平竞争保障措施</w:t>
      </w:r>
      <w:bookmarkEnd w:id="17"/>
      <w:r>
        <w:rPr>
          <w:rFonts w:hint="eastAsia" w:ascii="宋体" w:hAnsi="宋体"/>
          <w:sz w:val="24"/>
        </w:rPr>
        <w:t xml:space="preserve"> </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8" w:name="_Toc96804722"/>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r>
        <w:rPr>
          <w:rFonts w:hint="eastAsia" w:ascii="宋体" w:hAnsi="宋体"/>
          <w:sz w:val="24"/>
        </w:rPr>
        <w:t>6.联合体竞争性询价（实质性要求）</w:t>
      </w:r>
      <w:bookmarkEnd w:id="18"/>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9" w:name="_Toc96804723"/>
      <w:r>
        <w:rPr>
          <w:rFonts w:hint="eastAsia" w:ascii="宋体" w:hAnsi="宋体"/>
          <w:sz w:val="24"/>
        </w:rPr>
        <w:t>7.询价保证金（实质性要求）</w:t>
      </w:r>
      <w:bookmarkEnd w:id="19"/>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pPr>
        <w:pStyle w:val="9"/>
        <w:rPr>
          <w:rFonts w:hint="eastAsia"/>
          <w:lang w:eastAsia="zh-CN"/>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20" w:name="_Toc96804724"/>
      <w:r>
        <w:rPr>
          <w:rFonts w:hint="eastAsia" w:ascii="宋体" w:hAnsi="宋体"/>
          <w:sz w:val="24"/>
        </w:rPr>
        <w:t>8.响应文件有效期（实质性要求）</w:t>
      </w:r>
      <w:bookmarkEnd w:id="20"/>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rPr>
      </w:pPr>
      <w:bookmarkStart w:id="21" w:name="_Toc96804725"/>
      <w:r>
        <w:rPr>
          <w:rFonts w:hint="eastAsia" w:ascii="宋体" w:hAnsi="宋体"/>
          <w:sz w:val="24"/>
        </w:rPr>
        <w:t>9.知识产权</w:t>
      </w:r>
      <w:bookmarkEnd w:id="21"/>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2" w:name="_Toc96804726"/>
      <w:r>
        <w:rPr>
          <w:rFonts w:hint="eastAsia" w:ascii="宋体" w:hAnsi="宋体" w:eastAsia="宋体"/>
          <w:bCs w:val="0"/>
          <w:color w:val="000000"/>
        </w:rPr>
        <w:t>三、询价文件</w:t>
      </w:r>
      <w:bookmarkEnd w:id="22"/>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rPr>
      </w:pPr>
      <w:bookmarkStart w:id="23"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3"/>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11.询价文件的澄清和修改</w:t>
      </w:r>
      <w:bookmarkEnd w:id="24"/>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none"/>
          <w:lang w:val="en-US" w:eastAsia="zh-CN"/>
        </w:rPr>
        <w:t>2024年11月25日</w:t>
      </w:r>
      <w:r>
        <w:rPr>
          <w:rFonts w:hint="eastAsia" w:ascii="宋体" w:hAnsi="宋体"/>
          <w:color w:val="000000"/>
          <w:sz w:val="24"/>
        </w:rPr>
        <w:t>前以书面形式向采购人/采购代理机构提出申请，由采购人/采购代理机构决定是否采纳供应商的申请事项。</w:t>
      </w:r>
      <w:bookmarkStart w:id="25" w:name="_Toc96804729"/>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12.答疑会和现场考察</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9"/>
        <w:rPr>
          <w:rFonts w:hint="eastAsia"/>
        </w:rPr>
      </w:pP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6" w:name="_Toc96804730"/>
      <w:r>
        <w:rPr>
          <w:rFonts w:hint="eastAsia" w:ascii="宋体" w:hAnsi="宋体" w:eastAsia="宋体"/>
          <w:bCs w:val="0"/>
          <w:color w:val="000000"/>
        </w:rPr>
        <w:t>四、响应文件</w:t>
      </w:r>
      <w:bookmarkEnd w:id="26"/>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27" w:name="_Toc96804731"/>
      <w:r>
        <w:rPr>
          <w:rFonts w:hint="eastAsia" w:ascii="宋体" w:hAnsi="宋体"/>
          <w:sz w:val="24"/>
        </w:rPr>
        <w:t>13.响应文件的组成</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bookmarkStart w:id="28" w:name="_Toc96804732"/>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14.响应文件的语言</w:t>
      </w:r>
      <w:bookmarkEnd w:id="2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bookmarkStart w:id="29" w:name="_Toc96804733"/>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15．计量单位（实质性要求）</w:t>
      </w:r>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0" w:name="_Toc96804734"/>
      <w:r>
        <w:rPr>
          <w:rFonts w:hint="eastAsia" w:ascii="宋体" w:hAnsi="宋体"/>
          <w:sz w:val="24"/>
        </w:rPr>
        <w:t>16. 报价货币（实质性要求）</w:t>
      </w:r>
      <w:bookmarkEnd w:id="30"/>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1" w:name="_Toc96804735"/>
      <w:r>
        <w:rPr>
          <w:rFonts w:hint="eastAsia" w:ascii="宋体" w:hAnsi="宋体"/>
          <w:sz w:val="24"/>
        </w:rPr>
        <w:t>17.响应文件格式</w:t>
      </w:r>
      <w:bookmarkEnd w:id="3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2" w:name="_Toc96804736"/>
      <w:r>
        <w:rPr>
          <w:rFonts w:hint="eastAsia" w:ascii="宋体" w:hAnsi="宋体"/>
          <w:sz w:val="24"/>
        </w:rPr>
        <w:t>18.响应文件的编制和签署</w:t>
      </w:r>
      <w:bookmarkEnd w:id="3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18.6响应文件正本和副本应当采用胶装方式装订成册，不得散装或者合页装订。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18.7响应文件应根据询价文件的要求制作，签署、盖章。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r>
        <w:rPr>
          <w:rFonts w:hint="eastAsia" w:ascii="宋体" w:hAnsi="宋体"/>
          <w:color w:val="000000"/>
          <w:sz w:val="24"/>
        </w:rPr>
        <w:t>18.8响应文件统一用</w:t>
      </w:r>
      <w:r>
        <w:rPr>
          <w:rFonts w:ascii="宋体" w:hAnsi="宋体"/>
          <w:color w:val="000000"/>
          <w:sz w:val="24"/>
        </w:rPr>
        <w:t>A4</w:t>
      </w:r>
      <w:r>
        <w:rPr>
          <w:rFonts w:hint="eastAsia" w:ascii="宋体" w:hAnsi="宋体"/>
          <w:color w:val="000000"/>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1"/>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3" w:name="_Toc96804737"/>
      <w:r>
        <w:rPr>
          <w:rFonts w:hint="eastAsia" w:ascii="宋体" w:hAnsi="宋体"/>
          <w:sz w:val="24"/>
        </w:rPr>
        <w:t>20.响应文件的递交</w:t>
      </w:r>
      <w:bookmarkEnd w:id="33"/>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4" w:name="_Toc96804738"/>
      <w:r>
        <w:rPr>
          <w:rFonts w:hint="eastAsia" w:ascii="宋体" w:hAnsi="宋体" w:eastAsia="宋体"/>
          <w:color w:val="000000"/>
        </w:rPr>
        <w:t>五、询价及评审过程</w:t>
      </w:r>
      <w:bookmarkEnd w:id="34"/>
    </w:p>
    <w:p>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rPr>
      </w:pPr>
      <w:bookmarkStart w:id="35"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5"/>
    </w:p>
    <w:p>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6" w:name="_Toc96804740"/>
      <w:r>
        <w:rPr>
          <w:rFonts w:hint="eastAsia" w:ascii="宋体" w:hAnsi="宋体" w:eastAsia="宋体"/>
          <w:color w:val="000000"/>
        </w:rPr>
        <w:t>六、成交事项</w:t>
      </w:r>
      <w:bookmarkEnd w:id="36"/>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rPr>
      </w:pPr>
      <w:bookmarkStart w:id="37" w:name="_Toc96804741"/>
      <w:r>
        <w:rPr>
          <w:rFonts w:hint="eastAsia" w:ascii="宋体" w:hAnsi="宋体"/>
          <w:sz w:val="24"/>
        </w:rPr>
        <w:t>23.确定成交供应商</w:t>
      </w:r>
      <w:bookmarkEnd w:id="37"/>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8" w:name="_Toc96804742"/>
      <w:r>
        <w:rPr>
          <w:rFonts w:hint="eastAsia" w:ascii="宋体" w:hAnsi="宋体" w:eastAsia="宋体"/>
          <w:b w:val="0"/>
          <w:color w:val="000000"/>
          <w:sz w:val="24"/>
          <w:szCs w:val="24"/>
        </w:rPr>
        <w:t>23.1成交通知书为签订采购合同的依据之一，是合同的有效组成部分。</w:t>
      </w:r>
      <w:bookmarkEnd w:id="38"/>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9"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9"/>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rPr>
      </w:pPr>
      <w:bookmarkStart w:id="40"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0"/>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bookmarkStart w:id="41" w:name="_Toc96804745"/>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1"/>
      <w:bookmarkStart w:id="42" w:name="_Toc96804746"/>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bookmarkEnd w:id="42"/>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3" w:name="_Toc96804747"/>
      <w:r>
        <w:rPr>
          <w:rFonts w:hint="eastAsia" w:ascii="宋体" w:hAnsi="宋体" w:eastAsia="宋体"/>
          <w:b w:val="0"/>
          <w:color w:val="000000"/>
          <w:sz w:val="24"/>
          <w:szCs w:val="24"/>
        </w:rPr>
        <w:t>（2）成交候选供应商因不可抗力，不能继续参加采购活动；</w:t>
      </w:r>
      <w:bookmarkEnd w:id="43"/>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4" w:name="_Toc96804748"/>
      <w:r>
        <w:rPr>
          <w:rFonts w:hint="eastAsia" w:ascii="宋体" w:hAnsi="宋体" w:eastAsia="宋体"/>
          <w:b w:val="0"/>
          <w:color w:val="000000"/>
          <w:sz w:val="24"/>
          <w:szCs w:val="24"/>
        </w:rPr>
        <w:t>（3）成交候选供应商无偿赠与或者低于成本价竞争；</w:t>
      </w:r>
      <w:bookmarkEnd w:id="44"/>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5" w:name="_Toc96804749"/>
      <w:r>
        <w:rPr>
          <w:rFonts w:hint="eastAsia" w:ascii="宋体" w:hAnsi="宋体" w:eastAsia="宋体"/>
          <w:b w:val="0"/>
          <w:color w:val="000000"/>
          <w:sz w:val="24"/>
          <w:szCs w:val="24"/>
        </w:rPr>
        <w:t>（4）成交候选供应商提供虚假材料；</w:t>
      </w:r>
      <w:bookmarkEnd w:id="45"/>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6" w:name="_Toc96804750"/>
      <w:r>
        <w:rPr>
          <w:rFonts w:hint="eastAsia" w:ascii="宋体" w:hAnsi="宋体" w:eastAsia="宋体"/>
          <w:b w:val="0"/>
          <w:color w:val="000000"/>
          <w:sz w:val="24"/>
          <w:szCs w:val="24"/>
        </w:rPr>
        <w:t>（5）成交候选供应商恶意串通。</w:t>
      </w:r>
      <w:bookmarkEnd w:id="46"/>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7"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7"/>
    </w:p>
    <w:p>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48" w:name="_Toc96804752"/>
      <w:r>
        <w:rPr>
          <w:rFonts w:hint="eastAsia" w:ascii="宋体" w:hAnsi="宋体" w:eastAsia="宋体"/>
          <w:color w:val="000000"/>
        </w:rPr>
        <w:t>七、合同事项</w:t>
      </w:r>
      <w:bookmarkEnd w:id="48"/>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49" w:name="_Toc101174151"/>
      <w:bookmarkStart w:id="50" w:name="_Toc430773927"/>
      <w:bookmarkStart w:id="51" w:name="_Toc101338364"/>
      <w:bookmarkStart w:id="52" w:name="_Toc209847069"/>
      <w:bookmarkStart w:id="53" w:name="_Toc96804753"/>
      <w:bookmarkStart w:id="54" w:name="_Toc101250646"/>
      <w:r>
        <w:rPr>
          <w:rFonts w:ascii="宋体" w:hAnsi="宋体"/>
          <w:sz w:val="24"/>
        </w:rPr>
        <w:t>24.</w:t>
      </w:r>
      <w:r>
        <w:rPr>
          <w:rFonts w:hint="eastAsia" w:ascii="宋体" w:hAnsi="宋体"/>
          <w:sz w:val="24"/>
        </w:rPr>
        <w:t>签订合同</w:t>
      </w:r>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5"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6"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7" w:name="_Toc96804756"/>
      <w:r>
        <w:rPr>
          <w:rFonts w:hint="eastAsia" w:ascii="宋体" w:hAnsi="宋体"/>
          <w:sz w:val="24"/>
        </w:rPr>
        <w:t>2</w:t>
      </w:r>
      <w:r>
        <w:rPr>
          <w:rFonts w:ascii="宋体" w:hAnsi="宋体"/>
          <w:sz w:val="24"/>
        </w:rPr>
        <w:t>7</w:t>
      </w:r>
      <w:r>
        <w:rPr>
          <w:rFonts w:hint="eastAsia" w:ascii="宋体" w:hAnsi="宋体"/>
          <w:sz w:val="24"/>
        </w:rPr>
        <w:t>.补充合同</w:t>
      </w:r>
      <w:bookmarkEnd w:id="5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8"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9" w:name="_Toc96804758"/>
      <w:bookmarkStart w:id="60" w:name="_Toc96702563"/>
      <w:r>
        <w:rPr>
          <w:rFonts w:ascii="宋体" w:hAnsi="宋体"/>
          <w:sz w:val="24"/>
        </w:rPr>
        <w:t>29</w:t>
      </w:r>
      <w:r>
        <w:rPr>
          <w:rFonts w:hint="eastAsia" w:ascii="宋体" w:hAnsi="宋体"/>
          <w:sz w:val="24"/>
        </w:rPr>
        <w:t>.补充合同</w:t>
      </w:r>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1" w:name="_Toc96804760"/>
      <w:bookmarkStart w:id="62"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1"/>
      <w:bookmarkEnd w:id="62"/>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3" w:name="_Toc96702566"/>
      <w:bookmarkStart w:id="64"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5"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5"/>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6" w:name="_Toc96702567"/>
      <w:bookmarkStart w:id="67" w:name="_Toc96804762"/>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6"/>
      <w:bookmarkEnd w:id="6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5"/>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rPr>
      </w:pPr>
      <w:bookmarkStart w:id="68" w:name="_Toc96804763"/>
      <w:r>
        <w:rPr>
          <w:rFonts w:hint="eastAsia" w:ascii="宋体" w:hAnsi="宋体" w:eastAsia="宋体"/>
          <w:color w:val="000000"/>
        </w:rPr>
        <w:t>八、询价纪律要求</w:t>
      </w:r>
      <w:bookmarkEnd w:id="68"/>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9"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9"/>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pPr>
        <w:tabs>
          <w:tab w:val="left" w:pos="851"/>
        </w:tabs>
        <w:spacing w:line="360" w:lineRule="auto"/>
        <w:ind w:firstLine="480" w:firstLineChars="200"/>
        <w:rPr>
          <w:rFonts w:hint="eastAsia" w:ascii="宋体" w:hAnsi="宋体" w:cs="宋体"/>
          <w:color w:val="000000"/>
          <w:sz w:val="24"/>
        </w:rPr>
      </w:pPr>
    </w:p>
    <w:p>
      <w:pPr>
        <w:rPr>
          <w:rFonts w:hint="eastAsia" w:ascii="宋体" w:hAnsi="宋体"/>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rPr>
          <w:rFonts w:hint="eastAsia" w:ascii="宋体" w:hAnsi="宋体"/>
          <w:highlight w:val="yellow"/>
        </w:rPr>
      </w:pPr>
      <w:bookmarkStart w:id="70" w:name="_Toc96804765"/>
      <w:bookmarkStart w:id="71" w:name="_Toc183582232"/>
      <w:bookmarkStart w:id="72" w:name="_Toc183682369"/>
      <w:bookmarkStart w:id="73" w:name="_Toc217446057"/>
      <w:r>
        <w:rPr>
          <w:rFonts w:hint="eastAsia" w:ascii="宋体" w:hAnsi="宋体"/>
          <w:highlight w:val="yellow"/>
        </w:rPr>
        <w:br w:type="page"/>
      </w:r>
    </w:p>
    <w:p>
      <w:pPr>
        <w:pStyle w:val="4"/>
        <w:numPr>
          <w:ilvl w:val="0"/>
          <w:numId w:val="0"/>
        </w:numPr>
        <w:ind w:leftChars="0"/>
        <w:jc w:val="center"/>
        <w:rPr>
          <w:rFonts w:hint="eastAsia" w:ascii="宋体" w:hAnsi="宋体"/>
          <w:highlight w:val="none"/>
        </w:rPr>
      </w:pPr>
      <w:r>
        <w:rPr>
          <w:rFonts w:hint="eastAsia" w:ascii="宋体" w:hAnsi="宋体"/>
          <w:highlight w:val="none"/>
        </w:rPr>
        <w:t>第三章  采购人要求</w:t>
      </w:r>
      <w:bookmarkEnd w:id="70"/>
    </w:p>
    <w:p>
      <w:pPr>
        <w:pStyle w:val="5"/>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rPr>
      </w:pPr>
      <w:bookmarkStart w:id="74"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lang w:val="en-US" w:eastAsia="zh-CN"/>
        </w:rPr>
        <w:t>采购设备</w:t>
      </w:r>
      <w:r>
        <w:rPr>
          <w:rFonts w:hint="eastAsia" w:ascii="黑体" w:hAnsi="黑体" w:eastAsia="黑体" w:cs="黑体"/>
          <w:b w:val="0"/>
          <w:bCs w:val="0"/>
          <w:sz w:val="28"/>
          <w:szCs w:val="28"/>
          <w:highlight w:val="none"/>
        </w:rPr>
        <w:t>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55"/>
        <w:gridCol w:w="1268"/>
        <w:gridCol w:w="4841"/>
        <w:gridCol w:w="709"/>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3"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255"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名称</w:t>
            </w:r>
          </w:p>
        </w:tc>
        <w:tc>
          <w:tcPr>
            <w:tcW w:w="1268"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品牌</w:t>
            </w:r>
          </w:p>
        </w:tc>
        <w:tc>
          <w:tcPr>
            <w:tcW w:w="4841"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参数</w:t>
            </w:r>
          </w:p>
        </w:tc>
        <w:tc>
          <w:tcPr>
            <w:tcW w:w="709"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数量</w:t>
            </w:r>
          </w:p>
        </w:tc>
        <w:tc>
          <w:tcPr>
            <w:tcW w:w="887"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793" w:type="dxa"/>
            <w:vAlign w:val="center"/>
          </w:tcPr>
          <w:p>
            <w:pPr>
              <w:pStyle w:val="9"/>
              <w:jc w:val="center"/>
              <w:rPr>
                <w:rFonts w:hint="eastAsia" w:eastAsiaTheme="minorEastAsia"/>
                <w:sz w:val="24"/>
                <w:szCs w:val="28"/>
                <w:vertAlign w:val="baseline"/>
                <w:lang w:val="en-US" w:eastAsia="zh-CN"/>
              </w:rPr>
            </w:pPr>
            <w:r>
              <w:rPr>
                <w:rFonts w:hint="eastAsia"/>
                <w:sz w:val="24"/>
                <w:szCs w:val="28"/>
                <w:vertAlign w:val="baseline"/>
                <w:lang w:val="en-US" w:eastAsia="zh-CN"/>
              </w:rPr>
              <w:t>1</w:t>
            </w:r>
          </w:p>
        </w:tc>
        <w:tc>
          <w:tcPr>
            <w:tcW w:w="1255" w:type="dxa"/>
            <w:vAlign w:val="center"/>
          </w:tcPr>
          <w:p>
            <w:pPr>
              <w:pStyle w:val="9"/>
              <w:jc w:val="center"/>
              <w:rPr>
                <w:rFonts w:hint="eastAsia"/>
                <w:sz w:val="24"/>
                <w:szCs w:val="28"/>
                <w:vertAlign w:val="baseline"/>
              </w:rPr>
            </w:pPr>
            <w:r>
              <w:rPr>
                <w:rFonts w:hint="eastAsia"/>
                <w:sz w:val="24"/>
                <w:szCs w:val="28"/>
                <w:vertAlign w:val="baseline"/>
                <w:lang w:val="en-US" w:eastAsia="zh-CN"/>
              </w:rPr>
              <w:t>200万红外海螺型网络摄像机</w:t>
            </w:r>
          </w:p>
        </w:tc>
        <w:tc>
          <w:tcPr>
            <w:tcW w:w="1268" w:type="dxa"/>
            <w:vAlign w:val="center"/>
          </w:tcPr>
          <w:p>
            <w:pPr>
              <w:pStyle w:val="9"/>
              <w:jc w:val="center"/>
              <w:rPr>
                <w:rFonts w:hint="eastAsia"/>
                <w:sz w:val="24"/>
                <w:szCs w:val="28"/>
                <w:vertAlign w:val="baseline"/>
              </w:rPr>
            </w:pPr>
          </w:p>
        </w:tc>
        <w:tc>
          <w:tcPr>
            <w:tcW w:w="4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最高分辨率可达200万像素，并在此分辨率下可输出25 fps实时图像，支持移动侦测（支持人形检测）与异常侦测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·支持背光补偿，强光抑制，3D数字降噪，数字宽动态，适应不同环境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 采用高效阵列红外灯，使用寿命长，红外照射最远可达30 m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vertAlign w:val="baseline"/>
              </w:rPr>
            </w:pPr>
            <w:r>
              <w:rPr>
                <w:rFonts w:hint="eastAsia" w:ascii="宋体" w:hAnsi="宋体" w:eastAsia="宋体" w:cs="宋体"/>
                <w:color w:val="000000"/>
                <w:kern w:val="0"/>
                <w:sz w:val="21"/>
                <w:szCs w:val="21"/>
                <w:lang w:val="en-US" w:eastAsia="zh-CN" w:bidi="ar"/>
              </w:rPr>
              <w:t xml:space="preserve">• 1个内置麦克风 </w:t>
            </w:r>
          </w:p>
        </w:tc>
        <w:tc>
          <w:tcPr>
            <w:tcW w:w="709" w:type="dxa"/>
            <w:vAlign w:val="center"/>
          </w:tcPr>
          <w:p>
            <w:pPr>
              <w:pStyle w:val="9"/>
              <w:jc w:val="center"/>
              <w:rPr>
                <w:rFonts w:hint="eastAsia" w:eastAsiaTheme="minorEastAsia"/>
                <w:sz w:val="24"/>
                <w:szCs w:val="24"/>
                <w:vertAlign w:val="baseline"/>
                <w:lang w:val="en-US" w:eastAsia="zh-CN"/>
              </w:rPr>
            </w:pPr>
            <w:r>
              <w:rPr>
                <w:rFonts w:hint="eastAsia"/>
                <w:sz w:val="24"/>
                <w:szCs w:val="24"/>
                <w:vertAlign w:val="baseline"/>
                <w:lang w:val="en-US" w:eastAsia="zh-CN"/>
              </w:rPr>
              <w:t>8</w:t>
            </w:r>
          </w:p>
        </w:tc>
        <w:tc>
          <w:tcPr>
            <w:tcW w:w="887" w:type="dxa"/>
            <w:vAlign w:val="center"/>
          </w:tcPr>
          <w:p>
            <w:pPr>
              <w:pStyle w:val="9"/>
              <w:jc w:val="center"/>
              <w:rPr>
                <w:rFonts w:hint="eastAsia" w:eastAsiaTheme="minorEastAsia"/>
                <w:sz w:val="24"/>
                <w:szCs w:val="24"/>
                <w:vertAlign w:val="baseline"/>
                <w:lang w:val="en-US" w:eastAsia="zh-CN"/>
              </w:rPr>
            </w:pPr>
            <w:r>
              <w:rPr>
                <w:rFonts w:hint="eastAsia"/>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2</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200万白光全彩筒型摄像机</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最高分辨率可达200万像素，并在此分辨率下可输出25 fps实时图像</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支持移动侦测（支持人形检测）与异常侦测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支持背光补偿，强光抑制，3D数字降噪，数字宽动态，适应不同环境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采用高效阵列红外灯，使用寿命长，红外照射最远可达30 m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1个内置麦克风 </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15</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3</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4盘位录像机</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•1.5U 标准机箱，支持机架安装；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•4盘位，最大支持10TB硬盘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•支持1个HDMI 4K输出 +1个VGA高清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1080P输出，同/异源可切换；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•支持12路1080P解码（开启解码增强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后，可提升至16路1080P解码）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•支持H.265、H.264混合解码，最大支持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接入8MP高清IPC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•2个千兆网口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•16进4出报警口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•2个USB2.0接口（前置）+1个USB3.0接</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4</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6T监控硬盘</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机械硬盘，≥5000RPM。</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16</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5</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8T监控硬盘</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机械硬盘，≥5000RPM。</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6</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6</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光纤收发器</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百兆单模单纤</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8</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7</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网桥</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100米电梯网桥</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8</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8</w:t>
            </w:r>
          </w:p>
        </w:tc>
        <w:tc>
          <w:tcPr>
            <w:tcW w:w="1255" w:type="dxa"/>
            <w:vAlign w:val="center"/>
          </w:tcPr>
          <w:p>
            <w:pPr>
              <w:keepNext w:val="0"/>
              <w:keepLines w:val="0"/>
              <w:widowControl/>
              <w:suppressLineNumbers w:val="0"/>
              <w:jc w:val="center"/>
              <w:rPr>
                <w:rFonts w:hint="eastAsia"/>
                <w:sz w:val="24"/>
                <w:szCs w:val="28"/>
                <w:vertAlign w:val="baseline"/>
                <w:lang w:val="en-US" w:eastAsia="zh-CN"/>
              </w:rPr>
            </w:pPr>
            <w:r>
              <w:rPr>
                <w:rFonts w:hint="eastAsia"/>
                <w:sz w:val="24"/>
                <w:szCs w:val="28"/>
                <w:vertAlign w:val="baseline"/>
                <w:lang w:val="en-US" w:eastAsia="zh-CN"/>
              </w:rPr>
              <w:t>八口交换机</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8口POE交换机</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6</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9</w:t>
            </w:r>
          </w:p>
        </w:tc>
        <w:tc>
          <w:tcPr>
            <w:tcW w:w="1255" w:type="dxa"/>
            <w:vAlign w:val="center"/>
          </w:tcPr>
          <w:p>
            <w:pPr>
              <w:keepNext w:val="0"/>
              <w:keepLines w:val="0"/>
              <w:widowControl/>
              <w:suppressLineNumbers w:val="0"/>
              <w:jc w:val="center"/>
              <w:rPr>
                <w:rFonts w:hint="eastAsia" w:asciiTheme="minorHAnsi" w:hAnsiTheme="minorHAnsi" w:eastAsiaTheme="minorEastAsia" w:cstheme="minorBidi"/>
                <w:kern w:val="2"/>
                <w:sz w:val="24"/>
                <w:szCs w:val="28"/>
                <w:vertAlign w:val="baseline"/>
                <w:lang w:val="en-US" w:eastAsia="zh-CN" w:bidi="ar-SA"/>
              </w:rPr>
            </w:pPr>
            <w:r>
              <w:rPr>
                <w:rFonts w:hint="eastAsia"/>
                <w:sz w:val="24"/>
                <w:szCs w:val="28"/>
                <w:vertAlign w:val="baseline"/>
                <w:lang w:val="en-US" w:eastAsia="zh-CN"/>
              </w:rPr>
              <w:t>五口交换机</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5口POE交换机</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5</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10</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电源</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摄像头电源</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24</w:t>
            </w:r>
          </w:p>
        </w:tc>
        <w:tc>
          <w:tcPr>
            <w:tcW w:w="887" w:type="dxa"/>
            <w:vAlign w:val="center"/>
          </w:tcPr>
          <w:p>
            <w:pPr>
              <w:pStyle w:val="9"/>
              <w:jc w:val="center"/>
              <w:rPr>
                <w:rFonts w:hint="eastAsia"/>
                <w:sz w:val="24"/>
                <w:szCs w:val="24"/>
                <w:vertAlign w:val="baseline"/>
                <w:lang w:val="en-US" w:eastAsia="zh-CN"/>
              </w:rPr>
            </w:pPr>
            <w:r>
              <w:rPr>
                <w:rFonts w:hint="eastAsia"/>
                <w:sz w:val="24"/>
                <w:szCs w:val="24"/>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11</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电源线</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满足适配需求</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100</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12</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网线</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6类非屏蔽，满足监控系统要求</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200</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13</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光缆</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8芯光缆</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600</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14</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辅材</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管材、钉卡、胶布、水晶头、尾纤、弱电箱等</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15</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维修人工</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含现有系统检测，所有维修更换设备、穿管、熔纤施工、调试、培训等费用，设备数量增减不做调整。</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项</w:t>
            </w:r>
          </w:p>
        </w:tc>
      </w:tr>
    </w:tbl>
    <w:p>
      <w:pPr>
        <w:pStyle w:val="5"/>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eastAsia="zh-CN"/>
        </w:rPr>
        <w:t>安装</w:t>
      </w:r>
      <w:r>
        <w:rPr>
          <w:rFonts w:hint="eastAsia"/>
          <w:b/>
          <w:bCs/>
          <w:sz w:val="24"/>
          <w:szCs w:val="24"/>
          <w:highlight w:val="none"/>
        </w:rPr>
        <w:t>地点</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w:t>
      </w:r>
      <w:r>
        <w:rPr>
          <w:rFonts w:hint="eastAsia"/>
          <w:sz w:val="24"/>
          <w:szCs w:val="24"/>
          <w:highlight w:val="none"/>
          <w:lang w:val="en-US" w:eastAsia="zh-CN"/>
        </w:rPr>
        <w:t>货物</w:t>
      </w:r>
      <w:r>
        <w:rPr>
          <w:rFonts w:hint="eastAsia"/>
          <w:sz w:val="24"/>
          <w:szCs w:val="24"/>
          <w:highlight w:val="none"/>
        </w:rPr>
        <w:t>运送过程中发生的运输、装卸等费用由中标</w:t>
      </w:r>
      <w:r>
        <w:rPr>
          <w:rFonts w:hint="eastAsia"/>
          <w:sz w:val="24"/>
          <w:szCs w:val="24"/>
          <w:highlight w:val="none"/>
          <w:lang w:eastAsia="zh-CN"/>
        </w:rPr>
        <w:t>投标人</w:t>
      </w:r>
      <w:r>
        <w:rPr>
          <w:rFonts w:hint="eastAsia"/>
          <w:sz w:val="24"/>
          <w:szCs w:val="24"/>
          <w:highlight w:val="none"/>
        </w:rPr>
        <w:t>承担。</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（二）售后服务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rPr>
        <w:t>供应商必须完成采购人提出的服务要求，如无法满足，采购人有权提出终止协议；</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（三）履约验收</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24</w:t>
      </w:r>
      <w:r>
        <w:rPr>
          <w:rFonts w:hint="eastAsia"/>
          <w:b w:val="0"/>
          <w:bCs w:val="0"/>
          <w:sz w:val="24"/>
          <w:szCs w:val="24"/>
          <w:highlight w:val="none"/>
        </w:rPr>
        <w:t>个月（自验收合格之日起），保修期内所更换</w:t>
      </w:r>
      <w:r>
        <w:rPr>
          <w:rFonts w:hint="eastAsia"/>
          <w:b w:val="0"/>
          <w:bCs w:val="0"/>
          <w:sz w:val="24"/>
          <w:szCs w:val="24"/>
          <w:highlight w:val="none"/>
          <w:lang w:val="en-US" w:eastAsia="zh-CN"/>
        </w:rPr>
        <w:t>设备、材料</w:t>
      </w:r>
      <w:r>
        <w:rPr>
          <w:rFonts w:hint="eastAsia"/>
          <w:b w:val="0"/>
          <w:bCs w:val="0"/>
          <w:sz w:val="24"/>
          <w:szCs w:val="24"/>
          <w:highlight w:val="none"/>
        </w:rPr>
        <w:t>由供应商提供，保修期外所更换</w:t>
      </w:r>
      <w:r>
        <w:rPr>
          <w:rFonts w:hint="eastAsia"/>
          <w:b w:val="0"/>
          <w:bCs w:val="0"/>
          <w:sz w:val="24"/>
          <w:szCs w:val="24"/>
          <w:highlight w:val="none"/>
          <w:lang w:val="en-US" w:eastAsia="zh-CN"/>
        </w:rPr>
        <w:t>设备、材料</w:t>
      </w:r>
      <w:r>
        <w:rPr>
          <w:rFonts w:hint="eastAsia"/>
          <w:b w:val="0"/>
          <w:bCs w:val="0"/>
          <w:sz w:val="24"/>
          <w:szCs w:val="24"/>
          <w:highlight w:val="none"/>
        </w:rPr>
        <w:t>由供应商有偿提供，价格不能高于市场价，供应商技术服务人员的一切费用自理。</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pPr>
        <w:tabs>
          <w:tab w:val="left" w:pos="7665"/>
        </w:tabs>
        <w:spacing w:line="360" w:lineRule="auto"/>
        <w:jc w:val="center"/>
        <w:rPr>
          <w:rFonts w:hint="eastAsia" w:ascii="宋体" w:hAnsi="宋体" w:eastAsia="宋体" w:cs="Times New Roman"/>
          <w:b/>
          <w:bCs/>
          <w:kern w:val="44"/>
          <w:sz w:val="44"/>
          <w:szCs w:val="44"/>
          <w:lang w:val="en-US" w:eastAsia="zh-CN" w:bidi="ar-SA"/>
        </w:rPr>
      </w:pPr>
      <w:r>
        <w:rPr>
          <w:rFonts w:hint="eastAsia" w:ascii="宋体" w:hAnsi="宋体"/>
        </w:rPr>
        <w:br w:type="page"/>
      </w:r>
      <w:bookmarkEnd w:id="74"/>
      <w:bookmarkStart w:id="75" w:name="_Toc22427"/>
      <w:bookmarkStart w:id="76" w:name="_Toc96804767"/>
      <w:r>
        <w:rPr>
          <w:rFonts w:hint="eastAsia" w:ascii="宋体" w:hAnsi="宋体" w:eastAsia="宋体" w:cs="Times New Roman"/>
          <w:b/>
          <w:bCs/>
          <w:kern w:val="44"/>
          <w:sz w:val="44"/>
          <w:szCs w:val="44"/>
          <w:lang w:val="en-US" w:eastAsia="zh-CN" w:bidi="ar-SA"/>
        </w:rPr>
        <w:t>第四章   报价要求</w:t>
      </w:r>
      <w:bookmarkEnd w:id="75"/>
      <w:bookmarkEnd w:id="76"/>
    </w:p>
    <w:p>
      <w:pPr>
        <w:jc w:val="left"/>
        <w:rPr>
          <w:rFonts w:ascii="宋体" w:hAnsi="宋体" w:cs="宋体"/>
          <w:sz w:val="32"/>
        </w:rPr>
      </w:pPr>
    </w:p>
    <w:p>
      <w:pPr>
        <w:widowControl/>
        <w:numPr>
          <w:ilvl w:val="0"/>
          <w:numId w:val="3"/>
        </w:numPr>
        <w:spacing w:line="360" w:lineRule="auto"/>
        <w:jc w:val="left"/>
        <w:rPr>
          <w:rFonts w:ascii="宋体" w:hAnsi="宋体" w:cs="宋体"/>
          <w:b/>
          <w:bCs/>
          <w:sz w:val="24"/>
        </w:rPr>
      </w:pPr>
      <w:r>
        <w:rPr>
          <w:rFonts w:ascii="宋体" w:hAnsi="宋体" w:cs="宋体"/>
          <w:b/>
          <w:bCs/>
          <w:sz w:val="24"/>
        </w:rPr>
        <w:t>报价</w:t>
      </w:r>
    </w:p>
    <w:p>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pPr>
        <w:spacing w:line="360" w:lineRule="auto"/>
        <w:jc w:val="left"/>
        <w:rPr>
          <w:rFonts w:ascii="宋体" w:hAnsi="宋体" w:cs="宋体"/>
          <w:b/>
          <w:bCs/>
          <w:sz w:val="24"/>
        </w:rPr>
      </w:pPr>
      <w:r>
        <w:rPr>
          <w:rFonts w:ascii="宋体" w:hAnsi="宋体" w:cs="宋体"/>
          <w:b/>
          <w:bCs/>
          <w:sz w:val="24"/>
        </w:rPr>
        <w:t>2.项目承包</w:t>
      </w:r>
    </w:p>
    <w:p>
      <w:pPr>
        <w:pStyle w:val="27"/>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pPr>
        <w:spacing w:line="360" w:lineRule="auto"/>
        <w:jc w:val="left"/>
        <w:rPr>
          <w:rFonts w:ascii="宋体" w:hAnsi="宋体" w:cs="宋体"/>
          <w:b/>
          <w:bCs/>
          <w:sz w:val="24"/>
        </w:rPr>
      </w:pPr>
      <w:r>
        <w:rPr>
          <w:rFonts w:ascii="宋体" w:hAnsi="宋体" w:cs="宋体"/>
          <w:b/>
          <w:bCs/>
          <w:sz w:val="24"/>
        </w:rPr>
        <w:t>3.报价要求</w:t>
      </w:r>
    </w:p>
    <w:p>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pPr>
        <w:spacing w:line="360" w:lineRule="auto"/>
        <w:ind w:firstLine="480" w:firstLineChars="200"/>
        <w:jc w:val="left"/>
        <w:rPr>
          <w:rFonts w:ascii="宋体" w:hAnsi="宋体" w:cs="宋体"/>
          <w:sz w:val="24"/>
        </w:rPr>
      </w:pPr>
      <w:r>
        <w:rPr>
          <w:rFonts w:ascii="宋体" w:hAnsi="宋体" w:cs="宋体"/>
          <w:b/>
          <w:bCs/>
          <w:sz w:val="24"/>
        </w:rPr>
        <w:t>4．报价货币</w:t>
      </w:r>
    </w:p>
    <w:p>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pPr>
        <w:pStyle w:val="4"/>
        <w:numPr>
          <w:ilvl w:val="0"/>
          <w:numId w:val="0"/>
        </w:numPr>
        <w:ind w:leftChars="0"/>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7" w:name="_Toc96804768"/>
      <w:r>
        <w:rPr>
          <w:rFonts w:hint="eastAsia" w:ascii="宋体" w:hAnsi="宋体" w:eastAsia="宋体" w:cs="Times New Roman"/>
          <w:b/>
          <w:bCs/>
          <w:kern w:val="44"/>
          <w:sz w:val="44"/>
          <w:szCs w:val="44"/>
          <w:lang w:val="en-US" w:eastAsia="zh-CN" w:bidi="ar-SA"/>
        </w:rPr>
        <w:t>第五章  响应文件格式</w:t>
      </w:r>
      <w:bookmarkEnd w:id="77"/>
    </w:p>
    <w:p>
      <w:pPr>
        <w:spacing w:line="360" w:lineRule="auto"/>
        <w:jc w:val="left"/>
        <w:rPr>
          <w:rFonts w:hint="eastAsia" w:ascii="宋体" w:hAnsi="宋体"/>
          <w:b/>
          <w:color w:val="000000"/>
          <w:sz w:val="32"/>
          <w:szCs w:val="32"/>
        </w:rPr>
      </w:pPr>
    </w:p>
    <w:p>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color w:val="000000"/>
          <w:sz w:val="24"/>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left"/>
        <w:rPr>
          <w:rFonts w:hint="eastAsia" w:ascii="黑体" w:hAnsi="黑体" w:eastAsia="黑体" w:cs="黑体"/>
          <w:sz w:val="36"/>
        </w:rPr>
      </w:pPr>
    </w:p>
    <w:p>
      <w:pPr>
        <w:spacing w:line="360" w:lineRule="auto"/>
        <w:jc w:val="left"/>
        <w:rPr>
          <w:rFonts w:ascii="宋体" w:hAnsi="宋体" w:cs="宋体"/>
          <w:sz w:val="36"/>
        </w:rPr>
      </w:pPr>
      <w:r>
        <w:rPr>
          <w:rFonts w:hint="eastAsia" w:ascii="黑体" w:hAnsi="黑体" w:eastAsia="黑体" w:cs="黑体"/>
          <w:sz w:val="36"/>
        </w:rPr>
        <w:t>封面：</w:t>
      </w:r>
    </w:p>
    <w:p>
      <w:pPr>
        <w:spacing w:line="360" w:lineRule="auto"/>
        <w:jc w:val="right"/>
        <w:rPr>
          <w:rFonts w:ascii="宋体" w:hAnsi="宋体" w:cs="宋体"/>
          <w:b/>
          <w:bCs/>
          <w:sz w:val="32"/>
        </w:rPr>
      </w:pPr>
      <w:r>
        <w:rPr>
          <w:rFonts w:hint="eastAsia" w:ascii="黑体" w:hAnsi="黑体" w:eastAsia="黑体" w:cs="黑体"/>
          <w:sz w:val="36"/>
        </w:rPr>
        <w:t>（正本/副本）</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pPr>
        <w:jc w:val="center"/>
        <w:rPr>
          <w:rFonts w:ascii="宋体" w:hAnsi="宋体" w:cs="宋体"/>
          <w:sz w:val="72"/>
        </w:rPr>
      </w:pPr>
    </w:p>
    <w:p>
      <w:pPr>
        <w:jc w:val="center"/>
        <w:rPr>
          <w:rFonts w:ascii="宋体" w:hAnsi="宋体" w:cs="宋体"/>
          <w:sz w:val="52"/>
          <w:szCs w:val="52"/>
        </w:rPr>
      </w:pPr>
    </w:p>
    <w:p>
      <w:pPr>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申</w:t>
      </w:r>
    </w:p>
    <w:p>
      <w:pPr>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val="en-US" w:eastAsia="zh-CN"/>
        </w:rPr>
        <w:t>请</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pPr>
        <w:jc w:val="left"/>
        <w:rPr>
          <w:rFonts w:ascii="宋体" w:hAnsi="宋体" w:cs="宋体"/>
          <w:sz w:val="52"/>
          <w:szCs w:val="52"/>
        </w:rPr>
      </w:pPr>
      <w:r>
        <w:rPr>
          <w:rFonts w:ascii="宋体" w:hAnsi="宋体" w:cs="宋体"/>
          <w:sz w:val="52"/>
          <w:szCs w:val="52"/>
        </w:rPr>
        <w:t xml:space="preserve">              </w:t>
      </w:r>
    </w:p>
    <w:p>
      <w:pPr>
        <w:jc w:val="left"/>
        <w:rPr>
          <w:rFonts w:ascii="宋体" w:hAnsi="宋体" w:cs="宋体"/>
          <w:sz w:val="36"/>
        </w:rPr>
      </w:pPr>
    </w:p>
    <w:p>
      <w:pPr>
        <w:jc w:val="left"/>
        <w:rPr>
          <w:rFonts w:ascii="宋体" w:hAnsi="宋体" w:cs="宋体"/>
          <w:sz w:val="32"/>
        </w:rPr>
      </w:pPr>
    </w:p>
    <w:p>
      <w:pPr>
        <w:jc w:val="left"/>
        <w:rPr>
          <w:rFonts w:ascii="宋体" w:hAnsi="宋体" w:cs="宋体"/>
          <w:sz w:val="32"/>
        </w:rPr>
      </w:pPr>
    </w:p>
    <w:p>
      <w:pPr>
        <w:ind w:firstLine="640" w:firstLineChars="200"/>
        <w:jc w:val="left"/>
        <w:rPr>
          <w:rFonts w:ascii="宋体" w:hAnsi="宋体" w:cs="宋体"/>
          <w:sz w:val="32"/>
          <w:u w:val="single"/>
        </w:rPr>
      </w:pPr>
      <w:r>
        <w:rPr>
          <w:rFonts w:ascii="宋体" w:hAnsi="宋体" w:cs="宋体"/>
          <w:sz w:val="32"/>
        </w:rPr>
        <w:t>供应商名称：</w:t>
      </w:r>
    </w:p>
    <w:p>
      <w:pPr>
        <w:ind w:firstLine="640"/>
        <w:jc w:val="left"/>
        <w:rPr>
          <w:rFonts w:ascii="宋体" w:hAnsi="宋体" w:cs="宋体"/>
          <w:sz w:val="32"/>
        </w:rPr>
      </w:pPr>
      <w:r>
        <w:rPr>
          <w:rFonts w:ascii="宋体" w:hAnsi="宋体" w:cs="宋体"/>
          <w:sz w:val="32"/>
        </w:rPr>
        <w:t>日期：   年  月  日</w:t>
      </w:r>
    </w:p>
    <w:p>
      <w:pPr>
        <w:ind w:firstLine="640"/>
        <w:jc w:val="left"/>
        <w:rPr>
          <w:rFonts w:ascii="宋体" w:hAnsi="宋体" w:cs="宋体"/>
          <w:sz w:val="32"/>
        </w:rPr>
      </w:pPr>
      <w:r>
        <w:rPr>
          <w:rFonts w:ascii="宋体" w:hAnsi="宋体" w:cs="宋体"/>
          <w:sz w:val="24"/>
        </w:rPr>
        <w:t>注：此为封面格式，供应商可在封面后添加目录，格式自拟。</w:t>
      </w:r>
    </w:p>
    <w:p>
      <w:pPr>
        <w:pStyle w:val="14"/>
        <w:spacing w:before="0" w:after="0" w:line="360" w:lineRule="auto"/>
        <w:rPr>
          <w:rFonts w:ascii="宋体" w:hAnsi="宋体"/>
          <w:b w:val="0"/>
          <w:color w:val="000000"/>
          <w:sz w:val="32"/>
          <w:szCs w:val="32"/>
        </w:rPr>
      </w:pPr>
      <w:r>
        <w:rPr>
          <w:rFonts w:ascii="宋体" w:hAnsi="宋体"/>
          <w:b w:val="0"/>
          <w:color w:val="000000"/>
          <w:sz w:val="32"/>
          <w:szCs w:val="32"/>
        </w:rPr>
        <w:br w:type="page"/>
      </w:r>
    </w:p>
    <w:p>
      <w:pPr>
        <w:pStyle w:val="5"/>
        <w:keepNext w:val="0"/>
        <w:keepLines w:val="0"/>
        <w:numPr>
          <w:ilvl w:val="1"/>
          <w:numId w:val="0"/>
        </w:numPr>
        <w:tabs>
          <w:tab w:val="left" w:pos="426"/>
          <w:tab w:val="left" w:pos="567"/>
        </w:tabs>
        <w:spacing w:before="0" w:after="0" w:line="360" w:lineRule="auto"/>
        <w:ind w:left="425" w:leftChars="0"/>
        <w:jc w:val="center"/>
        <w:rPr>
          <w:rFonts w:hint="eastAsia" w:ascii="方正小标宋_GBK" w:hAnsi="方正小标宋_GBK" w:eastAsia="方正小标宋_GBK" w:cs="方正小标宋_GBK"/>
          <w:b w:val="0"/>
          <w:bCs w:val="0"/>
          <w:color w:val="auto"/>
          <w:kern w:val="28"/>
          <w:sz w:val="44"/>
          <w:szCs w:val="44"/>
          <w:highlight w:val="none"/>
          <w:lang w:val="en-US" w:eastAsia="zh-CN" w:bidi="ar-SA"/>
        </w:rPr>
      </w:pPr>
      <w:bookmarkStart w:id="78" w:name="_Toc96446260"/>
      <w:bookmarkStart w:id="79" w:name="_Toc96761121"/>
      <w:r>
        <w:rPr>
          <w:rFonts w:hint="eastAsia" w:ascii="方正小标宋_GBK" w:hAnsi="方正小标宋_GBK" w:eastAsia="方正小标宋_GBK" w:cs="方正小标宋_GBK"/>
          <w:b w:val="0"/>
          <w:bCs w:val="0"/>
          <w:color w:val="auto"/>
          <w:kern w:val="28"/>
          <w:sz w:val="44"/>
          <w:szCs w:val="44"/>
          <w:highlight w:val="none"/>
          <w:lang w:val="en-US" w:eastAsia="zh-CN" w:bidi="ar-SA"/>
        </w:rPr>
        <w:t>一、询价资格预审申请函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5"/>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5"/>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5"/>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5"/>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5"/>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5"/>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5"/>
        <w:spacing w:before="0" w:beforeAutospacing="0" w:after="0" w:afterAutospacing="0" w:line="360" w:lineRule="auto"/>
        <w:ind w:firstLine="480" w:firstLineChars="200"/>
        <w:jc w:val="both"/>
        <w:rPr>
          <w:rFonts w:ascii="Times New Roman" w:hAnsi="Times New Roman"/>
          <w:bCs/>
        </w:rPr>
      </w:pPr>
    </w:p>
    <w:p>
      <w:pPr>
        <w:pStyle w:val="15"/>
        <w:spacing w:before="0" w:beforeAutospacing="0" w:after="0" w:afterAutospacing="0" w:line="360" w:lineRule="auto"/>
        <w:ind w:firstLine="480" w:firstLineChars="200"/>
        <w:jc w:val="both"/>
        <w:rPr>
          <w:rFonts w:ascii="Times New Roman" w:hAnsi="Times New Roman"/>
          <w:bCs/>
        </w:rPr>
      </w:pPr>
    </w:p>
    <w:p>
      <w:pPr>
        <w:pStyle w:val="15"/>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5"/>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5"/>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78"/>
    <w:bookmarkEnd w:id="79"/>
    <w:p>
      <w:pPr>
        <w:pStyle w:val="14"/>
        <w:spacing w:before="0" w:after="0" w:line="360" w:lineRule="auto"/>
        <w:rPr>
          <w:rFonts w:ascii="宋体" w:hAnsi="宋体"/>
          <w:b w:val="0"/>
          <w:color w:val="000000"/>
          <w:sz w:val="32"/>
          <w:szCs w:val="32"/>
        </w:rPr>
      </w:pPr>
    </w:p>
    <w:p>
      <w:pPr>
        <w:pStyle w:val="14"/>
        <w:spacing w:before="0" w:after="0" w:line="360" w:lineRule="auto"/>
        <w:rPr>
          <w:rFonts w:hint="eastAsia" w:ascii="方正小标宋_GBK" w:hAnsi="方正小标宋_GBK" w:eastAsia="方正小标宋_GBK" w:cs="方正小标宋_GBK"/>
          <w:b w:val="0"/>
          <w:bCs w:val="0"/>
          <w:color w:val="auto"/>
          <w:sz w:val="44"/>
          <w:szCs w:val="44"/>
          <w:highlight w:val="none"/>
          <w:lang w:val="en-US" w:eastAsia="zh-CN"/>
        </w:rPr>
      </w:pPr>
    </w:p>
    <w:p>
      <w:pPr>
        <w:pStyle w:val="14"/>
        <w:spacing w:before="0" w:after="0" w:line="360" w:lineRule="auto"/>
        <w:rPr>
          <w:rFonts w:hint="eastAsia" w:ascii="方正小标宋_GBK" w:hAnsi="方正小标宋_GBK" w:eastAsia="方正小标宋_GBK" w:cs="方正小标宋_GBK"/>
          <w:b w:val="0"/>
          <w:bCs w:val="0"/>
          <w:color w:val="auto"/>
          <w:sz w:val="44"/>
          <w:szCs w:val="44"/>
          <w:highlight w:val="none"/>
          <w:lang w:val="en-US" w:eastAsia="zh-CN"/>
        </w:rPr>
      </w:pPr>
    </w:p>
    <w:p>
      <w:pPr>
        <w:pStyle w:val="14"/>
        <w:spacing w:before="0" w:after="0" w:line="360" w:lineRule="auto"/>
        <w:rPr>
          <w:rFonts w:hint="eastAsia" w:ascii="方正小标宋_GBK" w:hAnsi="方正小标宋_GBK" w:eastAsia="方正小标宋_GBK" w:cs="方正小标宋_GBK"/>
          <w:b w:val="0"/>
          <w:bCs w:val="0"/>
          <w:color w:val="auto"/>
          <w:sz w:val="44"/>
          <w:szCs w:val="44"/>
          <w:highlight w:val="none"/>
          <w:lang w:val="en-US" w:eastAsia="zh-CN"/>
        </w:rPr>
      </w:pPr>
    </w:p>
    <w:p>
      <w:pPr>
        <w:pStyle w:val="14"/>
        <w:spacing w:before="0" w:after="0" w:line="360" w:lineRule="auto"/>
        <w:rPr>
          <w:rFonts w:hint="eastAsia" w:ascii="方正小标宋_GBK" w:hAnsi="方正小标宋_GBK" w:eastAsia="方正小标宋_GBK" w:cs="方正小标宋_GBK"/>
          <w:b w:val="0"/>
          <w:bCs w:val="0"/>
          <w:color w:val="auto"/>
          <w:sz w:val="44"/>
          <w:szCs w:val="44"/>
          <w:highlight w:val="none"/>
          <w:lang w:val="en-US" w:eastAsia="zh-CN"/>
        </w:rPr>
      </w:pPr>
    </w:p>
    <w:p>
      <w:pPr>
        <w:pStyle w:val="14"/>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二</w:t>
      </w:r>
      <w:r>
        <w:rPr>
          <w:rFonts w:hint="eastAsia" w:ascii="方正小标宋_GBK" w:hAnsi="方正小标宋_GBK" w:eastAsia="方正小标宋_GBK" w:cs="方正小标宋_GBK"/>
          <w:b w:val="0"/>
          <w:bCs w:val="0"/>
          <w:color w:val="auto"/>
          <w:sz w:val="44"/>
          <w:szCs w:val="44"/>
          <w:highlight w:val="none"/>
        </w:rPr>
        <w:t>、法定代表人身份证明</w:t>
      </w:r>
    </w:p>
    <w:p>
      <w:pPr>
        <w:spacing w:line="360" w:lineRule="auto"/>
        <w:jc w:val="center"/>
        <w:rPr>
          <w:color w:val="auto"/>
          <w:kern w:val="0"/>
          <w:szCs w:val="21"/>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4"/>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80" w:name="_Toc96761123"/>
      <w:r>
        <w:rPr>
          <w:rFonts w:hint="eastAsia" w:ascii="方正小标宋_GBK" w:hAnsi="方正小标宋_GBK" w:eastAsia="方正小标宋_GBK" w:cs="方正小标宋_GBK"/>
          <w:color w:val="auto"/>
          <w:sz w:val="44"/>
          <w:szCs w:val="44"/>
          <w:highlight w:val="none"/>
          <w:lang w:val="en-US" w:eastAsia="zh-CN"/>
        </w:rPr>
        <w:t>三</w:t>
      </w:r>
      <w:r>
        <w:rPr>
          <w:rFonts w:hint="eastAsia" w:ascii="方正小标宋_GBK" w:hAnsi="方正小标宋_GBK" w:eastAsia="方正小标宋_GBK" w:cs="方正小标宋_GBK"/>
          <w:color w:val="auto"/>
          <w:sz w:val="44"/>
          <w:szCs w:val="44"/>
          <w:highlight w:val="none"/>
        </w:rPr>
        <w:t>、法定代表人授权书</w:t>
      </w:r>
      <w:bookmarkEnd w:id="80"/>
    </w:p>
    <w:p>
      <w:pPr>
        <w:spacing w:line="360" w:lineRule="auto"/>
        <w:jc w:val="center"/>
        <w:rPr>
          <w:b/>
          <w:color w:val="auto"/>
          <w:sz w:val="44"/>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四、供应商基本情况表</w:t>
      </w:r>
    </w:p>
    <w:p>
      <w:pPr>
        <w:spacing w:line="360" w:lineRule="auto"/>
        <w:jc w:val="center"/>
        <w:rPr>
          <w:rFonts w:hint="eastAsia" w:ascii="宋体" w:hAnsi="宋体" w:cs="Arial"/>
          <w:b/>
          <w:bCs/>
          <w:color w:val="000000"/>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eastAsia" w:ascii="宋体" w:hAnsi="宋体" w:cs="Arial"/>
                <w:bCs/>
                <w:color w:val="000000"/>
                <w:szCs w:val="21"/>
              </w:rPr>
            </w:pP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5040" w:type="dxa"/>
            <w:gridSpan w:val="8"/>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ascii="宋体" w:hAnsi="宋体"/>
              </w:rPr>
              <w:t>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spacing w:line="360" w:lineRule="auto"/>
              <w:jc w:val="center"/>
              <w:rPr>
                <w:rFonts w:hint="eastAsia" w:ascii="宋体" w:hAnsi="宋体" w:cs="Arial"/>
                <w:bCs/>
                <w:color w:val="000000"/>
                <w:szCs w:val="21"/>
              </w:rPr>
            </w:pPr>
          </w:p>
        </w:tc>
      </w:tr>
    </w:tbl>
    <w:p>
      <w:pPr>
        <w:adjustRightInd w:val="0"/>
        <w:spacing w:line="360" w:lineRule="auto"/>
        <w:jc w:val="left"/>
        <w:rPr>
          <w:rFonts w:hint="eastAsia" w:ascii="宋体" w:hAnsi="宋体"/>
          <w:color w:val="000000"/>
          <w:sz w:val="24"/>
        </w:rPr>
      </w:pPr>
      <w:r>
        <w:rPr>
          <w:rFonts w:hint="eastAsia" w:ascii="宋体" w:hAnsi="宋体"/>
          <w:color w:val="000000"/>
          <w:sz w:val="24"/>
        </w:rPr>
        <w:t>附：营业执照副本复印件。</w:t>
      </w:r>
    </w:p>
    <w:p>
      <w:pPr>
        <w:adjustRightInd w:val="0"/>
        <w:spacing w:line="360" w:lineRule="auto"/>
        <w:jc w:val="left"/>
        <w:rPr>
          <w:rFonts w:hint="eastAsia" w:ascii="宋体" w:hAnsi="宋体"/>
          <w:color w:val="000000"/>
          <w:sz w:val="24"/>
        </w:rPr>
      </w:pPr>
      <w:r>
        <w:rPr>
          <w:rFonts w:hint="eastAsia" w:ascii="宋体" w:hAnsi="宋体"/>
          <w:color w:val="000000"/>
          <w:sz w:val="24"/>
        </w:rPr>
        <w:t>供应商名称：XXX（盖单位公章）</w:t>
      </w:r>
    </w:p>
    <w:p>
      <w:pPr>
        <w:adjustRightInd w:val="0"/>
        <w:spacing w:line="360" w:lineRule="auto"/>
        <w:jc w:val="left"/>
        <w:rPr>
          <w:rFonts w:hint="eastAsia" w:ascii="宋体" w:hAnsi="宋体"/>
          <w:bCs/>
          <w:color w:val="000000"/>
          <w:sz w:val="24"/>
        </w:rPr>
      </w:pPr>
      <w:r>
        <w:rPr>
          <w:rFonts w:hint="eastAsia" w:ascii="宋体" w:hAnsi="宋体"/>
          <w:bCs/>
          <w:color w:val="000000"/>
          <w:sz w:val="24"/>
        </w:rPr>
        <w:t>法定代表人或授权代表（签字或盖章）：XXX</w:t>
      </w:r>
    </w:p>
    <w:p>
      <w:pPr>
        <w:adjustRightInd w:val="0"/>
        <w:spacing w:line="360" w:lineRule="auto"/>
        <w:jc w:val="left"/>
        <w:rPr>
          <w:rFonts w:hint="eastAsia" w:ascii="宋体" w:hAnsi="宋体"/>
          <w:bCs/>
          <w:color w:val="000000"/>
          <w:sz w:val="24"/>
        </w:rPr>
      </w:pPr>
      <w:r>
        <w:rPr>
          <w:rFonts w:hint="eastAsia" w:ascii="宋体" w:hAnsi="宋体"/>
          <w:bCs/>
          <w:color w:val="000000"/>
          <w:sz w:val="24"/>
        </w:rPr>
        <w:t>日  期：XXX年XXX月XXX日</w:t>
      </w:r>
    </w:p>
    <w:p>
      <w:pPr>
        <w:spacing w:line="360" w:lineRule="auto"/>
        <w:jc w:val="both"/>
        <w:rPr>
          <w:rFonts w:hint="eastAsia" w:ascii="宋体" w:hAnsi="宋体"/>
          <w:b/>
          <w:color w:val="000000"/>
          <w:sz w:val="32"/>
          <w:szCs w:val="32"/>
        </w:rPr>
      </w:pPr>
    </w:p>
    <w:p>
      <w:pPr>
        <w:spacing w:line="360" w:lineRule="auto"/>
        <w:ind w:firstLine="880" w:firstLineChars="200"/>
        <w:jc w:val="center"/>
        <w:rPr>
          <w:rFonts w:hint="eastAsia" w:ascii="宋体" w:hAnsi="宋体"/>
          <w:b/>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五、承诺函</w:t>
      </w:r>
    </w:p>
    <w:p>
      <w:pPr>
        <w:spacing w:line="360" w:lineRule="auto"/>
        <w:ind w:firstLine="560" w:firstLineChars="200"/>
        <w:jc w:val="center"/>
        <w:rPr>
          <w:rFonts w:hint="eastAsia" w:ascii="宋体" w:hAnsi="宋体"/>
          <w:b/>
          <w:color w:val="000000"/>
          <w:sz w:val="28"/>
          <w:szCs w:val="28"/>
        </w:rPr>
      </w:pPr>
    </w:p>
    <w:p>
      <w:pPr>
        <w:spacing w:line="400" w:lineRule="exact"/>
        <w:ind w:firstLine="480" w:firstLineChars="200"/>
        <w:jc w:val="left"/>
        <w:rPr>
          <w:rFonts w:hint="eastAsia" w:ascii="宋体" w:hAnsi="宋体"/>
          <w:color w:val="000000"/>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pPr>
        <w:pStyle w:val="23"/>
        <w:spacing w:line="500" w:lineRule="exact"/>
        <w:ind w:left="480" w:firstLine="0" w:firstLineChars="0"/>
        <w:rPr>
          <w:rFonts w:hint="eastAsia" w:ascii="宋体" w:hAnsi="宋体"/>
          <w:sz w:val="24"/>
        </w:rPr>
      </w:pPr>
      <w:r>
        <w:rPr>
          <w:rFonts w:hint="eastAsia" w:ascii="宋体" w:hAnsi="宋体"/>
          <w:sz w:val="24"/>
        </w:rPr>
        <w:t>（一）一般资格要求</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 xml:space="preserve"> 在参加本次采购活动中，不存在与单位负责人为同一人或者存在直接控股、管理关系的其他供应商参与同一合同项下的采购活动的行为；</w:t>
      </w:r>
    </w:p>
    <w:p>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无行贿犯罪记录。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pPr>
        <w:spacing w:line="400" w:lineRule="exact"/>
        <w:jc w:val="center"/>
        <w:rPr>
          <w:rFonts w:hint="eastAsia" w:ascii="宋体" w:hAnsi="宋体"/>
          <w:bCs/>
          <w:color w:val="000000"/>
          <w:sz w:val="30"/>
          <w:szCs w:val="30"/>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ascii="宋体" w:hAnsi="宋体"/>
          <w:b/>
          <w:color w:val="000000"/>
          <w:sz w:val="32"/>
          <w:szCs w:val="32"/>
        </w:rPr>
      </w:pPr>
      <w:r>
        <w:rPr>
          <w:rFonts w:ascii="宋体" w:hAnsi="宋体"/>
          <w:b/>
          <w:color w:val="000000"/>
          <w:sz w:val="32"/>
          <w:szCs w:val="32"/>
        </w:rPr>
        <w:br w:type="page"/>
      </w: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六、供应商营业执照</w:t>
      </w:r>
    </w:p>
    <w:p>
      <w:pPr>
        <w:spacing w:line="360" w:lineRule="auto"/>
        <w:jc w:val="center"/>
        <w:rPr>
          <w:rFonts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七、报价函</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黑体" w:hAnsi="黑体" w:eastAsia="黑体" w:cs="黑体"/>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bCs/>
          <w:color w:val="000000"/>
          <w:sz w:val="24"/>
        </w:rPr>
        <w:t>询价文件</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rPr>
        <w:t>），决定参加贵单位组织的本项目询价采购。</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含税价，税率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份用于询价报价。</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pPr>
        <w:spacing w:line="500" w:lineRule="exact"/>
        <w:ind w:firstLine="480"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pStyle w:val="9"/>
        <w:rPr>
          <w:rFonts w:hint="eastAsia" w:ascii="Times New Roman" w:hAnsi="Times New Roman"/>
          <w:sz w:val="24"/>
        </w:rPr>
      </w:pPr>
    </w:p>
    <w:p>
      <w:pPr>
        <w:pStyle w:val="9"/>
        <w:rPr>
          <w:rFonts w:hint="eastAsia" w:ascii="Times New Roman" w:hAnsi="Times New Roman"/>
          <w:b/>
          <w:bCs/>
          <w:sz w:val="24"/>
          <w:lang w:val="en-US" w:eastAsia="zh-CN"/>
        </w:rPr>
      </w:pPr>
      <w:r>
        <w:rPr>
          <w:rFonts w:hint="eastAsia" w:ascii="Times New Roman" w:hAnsi="Times New Roman"/>
          <w:sz w:val="24"/>
        </w:rPr>
        <w:t>报价清单：</w:t>
      </w:r>
      <w:r>
        <w:rPr>
          <w:rFonts w:hint="eastAsia" w:ascii="Times New Roman" w:hAnsi="Times New Roman"/>
          <w:b/>
          <w:bCs/>
          <w:sz w:val="24"/>
          <w:lang w:val="en-US" w:eastAsia="zh-CN"/>
        </w:rPr>
        <w:t>附后</w:t>
      </w:r>
    </w:p>
    <w:p>
      <w:pPr>
        <w:adjustRightInd w:val="0"/>
        <w:spacing w:line="360" w:lineRule="auto"/>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pPr>
        <w:spacing w:line="360" w:lineRule="auto"/>
        <w:ind w:firstLine="470" w:firstLineChars="196"/>
        <w:rPr>
          <w:rFonts w:hint="eastAsia" w:ascii="宋体" w:hAnsi="宋体"/>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pPr>
        <w:spacing w:line="360" w:lineRule="auto"/>
        <w:ind w:firstLine="470" w:firstLineChars="196"/>
        <w:rPr>
          <w:rFonts w:hint="eastAsia" w:ascii="宋体" w:hAnsi="宋体"/>
          <w:color w:val="000000"/>
          <w:sz w:val="24"/>
        </w:rPr>
      </w:pPr>
      <w:r>
        <w:rPr>
          <w:rFonts w:hint="eastAsia" w:ascii="宋体" w:hAnsi="宋体"/>
          <w:color w:val="000000"/>
          <w:sz w:val="24"/>
        </w:rPr>
        <w:t>通讯地址：</w:t>
      </w:r>
    </w:p>
    <w:p>
      <w:pPr>
        <w:spacing w:line="360" w:lineRule="auto"/>
        <w:ind w:firstLine="470" w:firstLineChars="196"/>
        <w:rPr>
          <w:rFonts w:hint="eastAsia" w:ascii="宋体" w:hAnsi="宋体"/>
          <w:color w:val="000000"/>
          <w:sz w:val="24"/>
        </w:rPr>
      </w:pPr>
      <w:r>
        <w:rPr>
          <w:rFonts w:hint="eastAsia" w:ascii="宋体" w:hAnsi="宋体"/>
          <w:color w:val="000000"/>
          <w:sz w:val="24"/>
        </w:rPr>
        <w:t>邮政编码：</w:t>
      </w:r>
    </w:p>
    <w:p>
      <w:pPr>
        <w:spacing w:line="360" w:lineRule="auto"/>
        <w:ind w:firstLine="470" w:firstLineChars="196"/>
        <w:rPr>
          <w:rFonts w:hint="eastAsia" w:ascii="宋体" w:hAnsi="宋体"/>
          <w:color w:val="000000"/>
          <w:sz w:val="24"/>
        </w:rPr>
      </w:pPr>
      <w:r>
        <w:rPr>
          <w:rFonts w:hint="eastAsia" w:ascii="宋体" w:hAnsi="宋体"/>
          <w:color w:val="000000"/>
          <w:sz w:val="24"/>
        </w:rPr>
        <w:t>联系电话：</w:t>
      </w:r>
    </w:p>
    <w:p>
      <w:pPr>
        <w:spacing w:line="360" w:lineRule="auto"/>
        <w:ind w:firstLine="470" w:firstLineChars="196"/>
        <w:rPr>
          <w:rFonts w:hint="eastAsia" w:ascii="宋体" w:hAnsi="宋体"/>
          <w:color w:val="000000"/>
          <w:sz w:val="24"/>
        </w:rPr>
      </w:pPr>
      <w:r>
        <w:rPr>
          <w:rFonts w:hint="eastAsia" w:ascii="宋体" w:hAnsi="宋体"/>
          <w:color w:val="000000"/>
          <w:sz w:val="24"/>
        </w:rPr>
        <w:t>传    真：</w:t>
      </w:r>
    </w:p>
    <w:p>
      <w:pPr>
        <w:spacing w:line="360" w:lineRule="auto"/>
        <w:ind w:firstLine="470" w:firstLineChars="196"/>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jc w:val="center"/>
        <w:rPr>
          <w:rFonts w:hint="eastAsia" w:ascii="宋体" w:hAnsi="宋体"/>
          <w:color w:val="000000"/>
          <w:sz w:val="24"/>
        </w:rPr>
      </w:pPr>
    </w:p>
    <w:p>
      <w:pPr>
        <w:spacing w:line="360" w:lineRule="auto"/>
        <w:rPr>
          <w:rFonts w:hint="eastAsia" w:ascii="宋体" w:hAnsi="宋体"/>
          <w:b/>
          <w:color w:val="000000"/>
          <w:sz w:val="32"/>
          <w:szCs w:val="32"/>
        </w:rPr>
      </w:pPr>
    </w:p>
    <w:p>
      <w:pPr>
        <w:spacing w:line="360" w:lineRule="auto"/>
        <w:rPr>
          <w:rFonts w:hint="eastAsia" w:ascii="宋体" w:hAnsi="宋体"/>
          <w:color w:val="000000"/>
          <w:sz w:val="36"/>
          <w:szCs w:val="36"/>
        </w:rPr>
        <w:sectPr>
          <w:footerReference r:id="rId9" w:type="default"/>
          <w:pgSz w:w="11906" w:h="16840"/>
          <w:pgMar w:top="1440" w:right="1800" w:bottom="1440" w:left="1746" w:header="851" w:footer="992" w:gutter="0"/>
          <w:pgNumType w:fmt="decimal"/>
          <w:cols w:space="720" w:num="1"/>
          <w:docGrid w:type="linesAndChars" w:linePitch="312" w:charSpace="0"/>
        </w:sectPr>
      </w:pPr>
    </w:p>
    <w:p>
      <w:pPr>
        <w:spacing w:line="360" w:lineRule="auto"/>
        <w:jc w:val="both"/>
        <w:rPr>
          <w:rFonts w:hint="eastAsia" w:ascii="方正小标宋_GBK" w:hAnsi="方正小标宋_GBK" w:eastAsia="方正小标宋_GBK" w:cs="方正小标宋_GBK"/>
          <w:b w:val="0"/>
          <w:bCs/>
          <w:color w:val="auto"/>
          <w:kern w:val="28"/>
          <w:sz w:val="44"/>
          <w:szCs w:val="44"/>
          <w:highlight w:val="none"/>
          <w:lang w:val="en-US" w:eastAsia="zh-CN" w:bidi="ar-SA"/>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NumType w:fmt="decimal"/>
          <w:cols w:space="720" w:num="1"/>
          <w:docGrid w:linePitch="312" w:charSpace="0"/>
        </w:sect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市人才公寓监控系统维修项目--报价清单表</w:t>
      </w:r>
    </w:p>
    <w:p>
      <w:pPr>
        <w:widowControl/>
        <w:bidi w:val="0"/>
        <w:spacing w:after="120"/>
        <w:rPr>
          <w:rFonts w:hint="eastAsia" w:ascii="仿宋_GB2312" w:hAnsi="仿宋_GB2312" w:eastAsia="仿宋_GB2312" w:cs="仿宋_GB2312"/>
          <w:color w:val="000000"/>
          <w:sz w:val="32"/>
          <w:szCs w:val="32"/>
        </w:rPr>
      </w:pPr>
      <w:r>
        <w:rPr>
          <w:rFonts w:hint="eastAsia" w:ascii="宋体" w:hAnsi="宋体"/>
          <w:color w:val="000000"/>
          <w:sz w:val="24"/>
          <w:lang w:eastAsia="zh-CN"/>
        </w:rPr>
        <w:t>响应</w:t>
      </w:r>
      <w:r>
        <w:rPr>
          <w:rFonts w:hint="eastAsia" w:ascii="宋体" w:hAnsi="宋体"/>
          <w:color w:val="000000"/>
          <w:sz w:val="24"/>
        </w:rPr>
        <w:t>人名称：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55"/>
        <w:gridCol w:w="1268"/>
        <w:gridCol w:w="4841"/>
        <w:gridCol w:w="709"/>
        <w:gridCol w:w="887"/>
        <w:gridCol w:w="1472"/>
        <w:gridCol w:w="130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3"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255"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名称</w:t>
            </w:r>
          </w:p>
        </w:tc>
        <w:tc>
          <w:tcPr>
            <w:tcW w:w="1268"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品牌</w:t>
            </w:r>
          </w:p>
        </w:tc>
        <w:tc>
          <w:tcPr>
            <w:tcW w:w="4841"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参数</w:t>
            </w:r>
          </w:p>
        </w:tc>
        <w:tc>
          <w:tcPr>
            <w:tcW w:w="709"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数量</w:t>
            </w:r>
          </w:p>
        </w:tc>
        <w:tc>
          <w:tcPr>
            <w:tcW w:w="887"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单位</w:t>
            </w:r>
          </w:p>
        </w:tc>
        <w:tc>
          <w:tcPr>
            <w:tcW w:w="1472"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不含税单价（元）</w:t>
            </w:r>
          </w:p>
        </w:tc>
        <w:tc>
          <w:tcPr>
            <w:tcW w:w="1305" w:type="dxa"/>
            <w:vAlign w:val="center"/>
          </w:tcPr>
          <w:p>
            <w:pPr>
              <w:pStyle w:val="9"/>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小计（元）</w:t>
            </w:r>
          </w:p>
        </w:tc>
        <w:tc>
          <w:tcPr>
            <w:tcW w:w="1567" w:type="dxa"/>
            <w:vAlign w:val="center"/>
          </w:tcPr>
          <w:p>
            <w:pPr>
              <w:pStyle w:val="9"/>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793" w:type="dxa"/>
            <w:vAlign w:val="center"/>
          </w:tcPr>
          <w:p>
            <w:pPr>
              <w:pStyle w:val="9"/>
              <w:jc w:val="center"/>
              <w:rPr>
                <w:rFonts w:hint="eastAsia" w:eastAsiaTheme="minorEastAsia"/>
                <w:sz w:val="24"/>
                <w:szCs w:val="28"/>
                <w:vertAlign w:val="baseline"/>
                <w:lang w:val="en-US" w:eastAsia="zh-CN"/>
              </w:rPr>
            </w:pPr>
            <w:r>
              <w:rPr>
                <w:rFonts w:hint="eastAsia"/>
                <w:sz w:val="24"/>
                <w:szCs w:val="28"/>
                <w:vertAlign w:val="baseline"/>
                <w:lang w:val="en-US" w:eastAsia="zh-CN"/>
              </w:rPr>
              <w:t>1</w:t>
            </w:r>
          </w:p>
        </w:tc>
        <w:tc>
          <w:tcPr>
            <w:tcW w:w="1255" w:type="dxa"/>
            <w:vAlign w:val="center"/>
          </w:tcPr>
          <w:p>
            <w:pPr>
              <w:pStyle w:val="9"/>
              <w:jc w:val="center"/>
              <w:rPr>
                <w:rFonts w:hint="eastAsia"/>
                <w:sz w:val="24"/>
                <w:szCs w:val="28"/>
                <w:vertAlign w:val="baseline"/>
              </w:rPr>
            </w:pPr>
            <w:r>
              <w:rPr>
                <w:rFonts w:hint="eastAsia"/>
                <w:sz w:val="24"/>
                <w:szCs w:val="28"/>
                <w:vertAlign w:val="baseline"/>
                <w:lang w:val="en-US" w:eastAsia="zh-CN"/>
              </w:rPr>
              <w:t>200万红外海螺型网络摄像机</w:t>
            </w:r>
          </w:p>
        </w:tc>
        <w:tc>
          <w:tcPr>
            <w:tcW w:w="1268" w:type="dxa"/>
            <w:vAlign w:val="center"/>
          </w:tcPr>
          <w:p>
            <w:pPr>
              <w:pStyle w:val="9"/>
              <w:jc w:val="center"/>
              <w:rPr>
                <w:rFonts w:hint="eastAsia"/>
                <w:sz w:val="24"/>
                <w:szCs w:val="28"/>
                <w:vertAlign w:val="baseline"/>
              </w:rPr>
            </w:pPr>
          </w:p>
        </w:tc>
        <w:tc>
          <w:tcPr>
            <w:tcW w:w="4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最高分辨率可达200万像素，并在此分辨率下可输出25 fps实时图像，支持移动侦测（支持人形检测）与异常侦测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·支持背光补偿，强光抑制，3D数字降噪，数字宽动态，适应不同环境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 采用高效阵列红外灯，使用寿命长，红外照射最远可达30 m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vertAlign w:val="baseline"/>
              </w:rPr>
            </w:pPr>
            <w:r>
              <w:rPr>
                <w:rFonts w:hint="eastAsia" w:ascii="宋体" w:hAnsi="宋体" w:eastAsia="宋体" w:cs="宋体"/>
                <w:color w:val="000000"/>
                <w:kern w:val="0"/>
                <w:sz w:val="21"/>
                <w:szCs w:val="21"/>
                <w:lang w:val="en-US" w:eastAsia="zh-CN" w:bidi="ar"/>
              </w:rPr>
              <w:t xml:space="preserve">• 1个内置麦克风 </w:t>
            </w:r>
          </w:p>
        </w:tc>
        <w:tc>
          <w:tcPr>
            <w:tcW w:w="709" w:type="dxa"/>
            <w:vAlign w:val="center"/>
          </w:tcPr>
          <w:p>
            <w:pPr>
              <w:pStyle w:val="9"/>
              <w:jc w:val="center"/>
              <w:rPr>
                <w:rFonts w:hint="eastAsia" w:eastAsiaTheme="minorEastAsia"/>
                <w:sz w:val="24"/>
                <w:szCs w:val="24"/>
                <w:vertAlign w:val="baseline"/>
                <w:lang w:val="en-US" w:eastAsia="zh-CN"/>
              </w:rPr>
            </w:pPr>
            <w:r>
              <w:rPr>
                <w:rFonts w:hint="eastAsia"/>
                <w:sz w:val="24"/>
                <w:szCs w:val="24"/>
                <w:vertAlign w:val="baseline"/>
                <w:lang w:val="en-US" w:eastAsia="zh-CN"/>
              </w:rPr>
              <w:t>8</w:t>
            </w:r>
          </w:p>
        </w:tc>
        <w:tc>
          <w:tcPr>
            <w:tcW w:w="887" w:type="dxa"/>
            <w:vAlign w:val="center"/>
          </w:tcPr>
          <w:p>
            <w:pPr>
              <w:pStyle w:val="9"/>
              <w:jc w:val="center"/>
              <w:rPr>
                <w:rFonts w:hint="eastAsia" w:eastAsiaTheme="minorEastAsia"/>
                <w:sz w:val="24"/>
                <w:szCs w:val="24"/>
                <w:vertAlign w:val="baseline"/>
                <w:lang w:val="en-US" w:eastAsia="zh-CN"/>
              </w:rPr>
            </w:pPr>
            <w:r>
              <w:rPr>
                <w:rFonts w:hint="eastAsia"/>
                <w:sz w:val="24"/>
                <w:szCs w:val="24"/>
                <w:vertAlign w:val="baseline"/>
                <w:lang w:val="en-US" w:eastAsia="zh-CN"/>
              </w:rPr>
              <w:t>台</w:t>
            </w:r>
          </w:p>
        </w:tc>
        <w:tc>
          <w:tcPr>
            <w:tcW w:w="1472" w:type="dxa"/>
            <w:vAlign w:val="center"/>
          </w:tcPr>
          <w:p>
            <w:pPr>
              <w:pStyle w:val="9"/>
              <w:jc w:val="center"/>
              <w:rPr>
                <w:rFonts w:hint="eastAsia"/>
                <w:sz w:val="24"/>
                <w:szCs w:val="28"/>
                <w:vertAlign w:val="baseline"/>
              </w:rPr>
            </w:pPr>
          </w:p>
        </w:tc>
        <w:tc>
          <w:tcPr>
            <w:tcW w:w="1305" w:type="dxa"/>
            <w:vAlign w:val="center"/>
          </w:tcPr>
          <w:p>
            <w:pPr>
              <w:pStyle w:val="9"/>
              <w:jc w:val="center"/>
              <w:rPr>
                <w:rFonts w:hint="eastAsia"/>
                <w:sz w:val="24"/>
                <w:szCs w:val="28"/>
                <w:vertAlign w:val="baseline"/>
              </w:rPr>
            </w:pPr>
          </w:p>
        </w:tc>
        <w:tc>
          <w:tcPr>
            <w:tcW w:w="1567" w:type="dxa"/>
            <w:vAlign w:val="center"/>
          </w:tcPr>
          <w:p>
            <w:pPr>
              <w:pStyle w:val="9"/>
              <w:jc w:val="center"/>
              <w:rPr>
                <w:rFonts w:hint="eastAsia"/>
                <w:sz w:val="2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2</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200万白光全彩筒型摄像机</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最高分辨率可达200万像素，并在此分辨率下可输出25 fps实时图像</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支持移动侦测（支持人形检测）与异常侦测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支持背光补偿，强光抑制，3D数字降噪，数字宽动态，适应不同环境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采用高效阵列红外灯，使用寿命长，红外照射最远可达30 m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rPr>
            </w:pPr>
            <w:r>
              <w:rPr>
                <w:rFonts w:hint="eastAsia"/>
                <w:vertAlign w:val="baseline"/>
                <w:lang w:val="en-US" w:eastAsia="zh-CN"/>
              </w:rPr>
              <w:t xml:space="preserve">• 1个内置麦克风 </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15</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3</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4盘位录像机</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•1.5U 标准机箱，支持机架安装；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•4盘位，最大支持10TB硬盘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•支持1个HDMI 4K输出 +1个VGA高清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1080P输出，同/异源可切换；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•支持12路1080P解码（开启解码增强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后，可提升至16路1080P解码）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•支持H.265、H.264混合解码，最大支持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接入8MP高清IPC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•2个千兆网口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 xml:space="preserve">•16进4出报警口 </w:t>
            </w:r>
          </w:p>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•2个USB2.0接口（前置）+1个USB3.0接</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4</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6T监控硬盘</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机械硬盘，≥5000RPM。</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16</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块</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5</w:t>
            </w:r>
          </w:p>
        </w:tc>
        <w:tc>
          <w:tcPr>
            <w:tcW w:w="1255" w:type="dxa"/>
            <w:vAlign w:val="center"/>
          </w:tcPr>
          <w:p>
            <w:pPr>
              <w:pStyle w:val="9"/>
              <w:jc w:val="center"/>
              <w:rPr>
                <w:rFonts w:hint="eastAsia"/>
                <w:sz w:val="24"/>
                <w:szCs w:val="28"/>
                <w:vertAlign w:val="baseline"/>
                <w:lang w:val="en-US" w:eastAsia="zh-CN"/>
              </w:rPr>
            </w:pPr>
            <w:r>
              <w:rPr>
                <w:rFonts w:hint="eastAsia"/>
                <w:sz w:val="24"/>
                <w:szCs w:val="28"/>
                <w:vertAlign w:val="baseline"/>
                <w:lang w:val="en-US" w:eastAsia="zh-CN"/>
              </w:rPr>
              <w:t>8T监控硬盘</w:t>
            </w:r>
          </w:p>
        </w:tc>
        <w:tc>
          <w:tcPr>
            <w:tcW w:w="1268" w:type="dxa"/>
            <w:vAlign w:val="center"/>
          </w:tcPr>
          <w:p>
            <w:pPr>
              <w:pStyle w:val="9"/>
              <w:jc w:val="center"/>
              <w:rPr>
                <w:rFonts w:hint="eastAsia"/>
                <w:sz w:val="24"/>
                <w:szCs w:val="28"/>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机械硬盘，≥5000RPM。</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6</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块</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6</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光纤收发器</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百兆单模单纤</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8</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对</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7</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网桥</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100米电梯网桥</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8</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对</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8</w:t>
            </w:r>
          </w:p>
        </w:tc>
        <w:tc>
          <w:tcPr>
            <w:tcW w:w="1255" w:type="dxa"/>
            <w:vAlign w:val="center"/>
          </w:tcPr>
          <w:p>
            <w:pPr>
              <w:keepNext w:val="0"/>
              <w:keepLines w:val="0"/>
              <w:widowControl/>
              <w:suppressLineNumbers w:val="0"/>
              <w:jc w:val="center"/>
              <w:rPr>
                <w:rFonts w:hint="eastAsia"/>
                <w:sz w:val="24"/>
                <w:szCs w:val="28"/>
                <w:vertAlign w:val="baseline"/>
                <w:lang w:val="en-US" w:eastAsia="zh-CN"/>
              </w:rPr>
            </w:pPr>
            <w:r>
              <w:rPr>
                <w:rFonts w:hint="eastAsia"/>
                <w:sz w:val="24"/>
                <w:szCs w:val="28"/>
                <w:vertAlign w:val="baseline"/>
                <w:lang w:val="en-US" w:eastAsia="zh-CN"/>
              </w:rPr>
              <w:t>八口交换机</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vertAlign w:val="baseline"/>
                <w:lang w:val="en-US" w:eastAsia="zh-CN"/>
              </w:rPr>
            </w:pPr>
            <w:r>
              <w:rPr>
                <w:rFonts w:hint="eastAsia"/>
                <w:vertAlign w:val="baseline"/>
                <w:lang w:val="en-US" w:eastAsia="zh-CN"/>
              </w:rPr>
              <w:t>8口POE交换机</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6</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9</w:t>
            </w:r>
          </w:p>
        </w:tc>
        <w:tc>
          <w:tcPr>
            <w:tcW w:w="1255" w:type="dxa"/>
            <w:vAlign w:val="center"/>
          </w:tcPr>
          <w:p>
            <w:pPr>
              <w:keepNext w:val="0"/>
              <w:keepLines w:val="0"/>
              <w:widowControl/>
              <w:suppressLineNumbers w:val="0"/>
              <w:jc w:val="center"/>
              <w:rPr>
                <w:rFonts w:hint="eastAsia" w:asciiTheme="minorHAnsi" w:hAnsiTheme="minorHAnsi" w:eastAsiaTheme="minorEastAsia" w:cstheme="minorBidi"/>
                <w:kern w:val="2"/>
                <w:sz w:val="24"/>
                <w:szCs w:val="28"/>
                <w:vertAlign w:val="baseline"/>
                <w:lang w:val="en-US" w:eastAsia="zh-CN" w:bidi="ar-SA"/>
              </w:rPr>
            </w:pPr>
            <w:r>
              <w:rPr>
                <w:rFonts w:hint="eastAsia"/>
                <w:sz w:val="24"/>
                <w:szCs w:val="28"/>
                <w:vertAlign w:val="baseline"/>
                <w:lang w:val="en-US" w:eastAsia="zh-CN"/>
              </w:rPr>
              <w:t>五口交换机</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5口POE交换机</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5</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台</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10</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电源</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摄像头电源</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24</w:t>
            </w:r>
          </w:p>
        </w:tc>
        <w:tc>
          <w:tcPr>
            <w:tcW w:w="887" w:type="dxa"/>
            <w:vAlign w:val="center"/>
          </w:tcPr>
          <w:p>
            <w:pPr>
              <w:pStyle w:val="9"/>
              <w:jc w:val="center"/>
              <w:rPr>
                <w:rFonts w:hint="eastAsia"/>
                <w:sz w:val="24"/>
                <w:szCs w:val="24"/>
                <w:vertAlign w:val="baseline"/>
                <w:lang w:val="en-US" w:eastAsia="zh-CN"/>
              </w:rPr>
            </w:pPr>
            <w:r>
              <w:rPr>
                <w:rFonts w:hint="eastAsia"/>
                <w:sz w:val="24"/>
                <w:szCs w:val="24"/>
                <w:vertAlign w:val="baseline"/>
                <w:lang w:val="en-US" w:eastAsia="zh-CN"/>
              </w:rPr>
              <w:t>个</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11</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电源线</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满足适配需求</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100</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米</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12</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网线</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vertAlign w:val="baseline"/>
                <w:lang w:val="en-US" w:eastAsia="zh-CN"/>
              </w:rPr>
            </w:pPr>
            <w:r>
              <w:rPr>
                <w:rFonts w:hint="eastAsia"/>
                <w:vertAlign w:val="baseline"/>
                <w:lang w:val="en-US" w:eastAsia="zh-CN"/>
              </w:rPr>
              <w:t>6类非屏蔽，满足监控系统要求</w:t>
            </w:r>
          </w:p>
        </w:tc>
        <w:tc>
          <w:tcPr>
            <w:tcW w:w="709"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200</w:t>
            </w:r>
          </w:p>
        </w:tc>
        <w:tc>
          <w:tcPr>
            <w:tcW w:w="887" w:type="dxa"/>
            <w:vAlign w:val="center"/>
          </w:tcPr>
          <w:p>
            <w:pPr>
              <w:pStyle w:val="9"/>
              <w:jc w:val="center"/>
              <w:rPr>
                <w:rFonts w:hint="default"/>
                <w:sz w:val="24"/>
                <w:szCs w:val="24"/>
                <w:vertAlign w:val="baseline"/>
                <w:lang w:val="en-US" w:eastAsia="zh-CN"/>
              </w:rPr>
            </w:pPr>
            <w:r>
              <w:rPr>
                <w:rFonts w:hint="eastAsia"/>
                <w:sz w:val="24"/>
                <w:szCs w:val="24"/>
                <w:vertAlign w:val="baseline"/>
                <w:lang w:val="en-US" w:eastAsia="zh-CN"/>
              </w:rPr>
              <w:t>米</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13</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光缆</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8芯光缆</w:t>
            </w:r>
          </w:p>
        </w:tc>
        <w:tc>
          <w:tcPr>
            <w:tcW w:w="709" w:type="dxa"/>
            <w:vAlign w:val="center"/>
          </w:tcPr>
          <w:p>
            <w:pPr>
              <w:pStyle w:val="9"/>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600</w:t>
            </w:r>
          </w:p>
        </w:tc>
        <w:tc>
          <w:tcPr>
            <w:tcW w:w="887" w:type="dxa"/>
            <w:vAlign w:val="center"/>
          </w:tcPr>
          <w:p>
            <w:pPr>
              <w:pStyle w:val="9"/>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米</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14</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辅材</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管材、钉卡、胶布、水晶头、尾纤、弱电箱等</w:t>
            </w:r>
          </w:p>
        </w:tc>
        <w:tc>
          <w:tcPr>
            <w:tcW w:w="709" w:type="dxa"/>
            <w:vAlign w:val="center"/>
          </w:tcPr>
          <w:p>
            <w:pPr>
              <w:pStyle w:val="9"/>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w:t>
            </w:r>
          </w:p>
        </w:tc>
        <w:tc>
          <w:tcPr>
            <w:tcW w:w="887" w:type="dxa"/>
            <w:vAlign w:val="center"/>
          </w:tcPr>
          <w:p>
            <w:pPr>
              <w:pStyle w:val="9"/>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项</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3" w:type="dxa"/>
            <w:vAlign w:val="center"/>
          </w:tcPr>
          <w:p>
            <w:pPr>
              <w:pStyle w:val="9"/>
              <w:jc w:val="center"/>
              <w:rPr>
                <w:rFonts w:hint="default"/>
                <w:sz w:val="24"/>
                <w:szCs w:val="28"/>
                <w:vertAlign w:val="baseline"/>
                <w:lang w:val="en-US" w:eastAsia="zh-CN"/>
              </w:rPr>
            </w:pPr>
            <w:r>
              <w:rPr>
                <w:rFonts w:hint="eastAsia"/>
                <w:sz w:val="24"/>
                <w:szCs w:val="28"/>
                <w:vertAlign w:val="baseline"/>
                <w:lang w:val="en-US" w:eastAsia="zh-CN"/>
              </w:rPr>
              <w:t>15</w:t>
            </w:r>
          </w:p>
        </w:tc>
        <w:tc>
          <w:tcPr>
            <w:tcW w:w="1255" w:type="dxa"/>
            <w:vAlign w:val="center"/>
          </w:tcPr>
          <w:p>
            <w:pPr>
              <w:keepNext w:val="0"/>
              <w:keepLines w:val="0"/>
              <w:widowControl/>
              <w:suppressLineNumbers w:val="0"/>
              <w:jc w:val="center"/>
              <w:rPr>
                <w:rFonts w:hint="default"/>
                <w:sz w:val="24"/>
                <w:szCs w:val="28"/>
                <w:vertAlign w:val="baseline"/>
                <w:lang w:val="en-US" w:eastAsia="zh-CN"/>
              </w:rPr>
            </w:pPr>
            <w:r>
              <w:rPr>
                <w:rFonts w:hint="eastAsia"/>
                <w:sz w:val="24"/>
                <w:szCs w:val="28"/>
                <w:vertAlign w:val="baseline"/>
                <w:lang w:val="en-US" w:eastAsia="zh-CN"/>
              </w:rPr>
              <w:t>维修人工</w:t>
            </w:r>
          </w:p>
        </w:tc>
        <w:tc>
          <w:tcPr>
            <w:tcW w:w="1268"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p>
        </w:tc>
        <w:tc>
          <w:tcPr>
            <w:tcW w:w="484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含现有系统检测，所有维修更换设备、穿管、熔纤施工、调试、培训等费用，设备数量增减不做调整。</w:t>
            </w:r>
          </w:p>
        </w:tc>
        <w:tc>
          <w:tcPr>
            <w:tcW w:w="709" w:type="dxa"/>
            <w:vAlign w:val="center"/>
          </w:tcPr>
          <w:p>
            <w:pPr>
              <w:pStyle w:val="9"/>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w:t>
            </w:r>
          </w:p>
        </w:tc>
        <w:tc>
          <w:tcPr>
            <w:tcW w:w="887" w:type="dxa"/>
            <w:vAlign w:val="center"/>
          </w:tcPr>
          <w:p>
            <w:pPr>
              <w:pStyle w:val="9"/>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项</w:t>
            </w:r>
          </w:p>
        </w:tc>
        <w:tc>
          <w:tcPr>
            <w:tcW w:w="1472" w:type="dxa"/>
            <w:vAlign w:val="center"/>
          </w:tcPr>
          <w:p>
            <w:pPr>
              <w:pStyle w:val="9"/>
              <w:jc w:val="center"/>
              <w:rPr>
                <w:rFonts w:hint="eastAsia"/>
                <w:vertAlign w:val="baseline"/>
              </w:rPr>
            </w:pPr>
          </w:p>
        </w:tc>
        <w:tc>
          <w:tcPr>
            <w:tcW w:w="1305" w:type="dxa"/>
            <w:vAlign w:val="center"/>
          </w:tcPr>
          <w:p>
            <w:pPr>
              <w:pStyle w:val="9"/>
              <w:jc w:val="center"/>
              <w:rPr>
                <w:rFonts w:hint="eastAsia"/>
                <w:vertAlign w:val="baseline"/>
              </w:rPr>
            </w:pPr>
          </w:p>
        </w:tc>
        <w:tc>
          <w:tcPr>
            <w:tcW w:w="1567" w:type="dxa"/>
            <w:vAlign w:val="center"/>
          </w:tcPr>
          <w:p>
            <w:pPr>
              <w:pStyle w:val="9"/>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4097" w:type="dxa"/>
            <w:gridSpan w:val="9"/>
            <w:vAlign w:val="center"/>
          </w:tcPr>
          <w:p>
            <w:pPr>
              <w:pStyle w:val="9"/>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8"/>
                <w:szCs w:val="28"/>
                <w:vertAlign w:val="baseline"/>
                <w:lang w:val="en-US" w:eastAsia="zh-CN"/>
              </w:rPr>
            </w:pPr>
            <w:r>
              <w:rPr>
                <w:rFonts w:hint="eastAsia"/>
                <w:sz w:val="28"/>
                <w:szCs w:val="28"/>
                <w:vertAlign w:val="baseline"/>
                <w:lang w:val="en-US" w:eastAsia="zh-CN"/>
              </w:rPr>
              <w:t>报价合计：不含税价：              大写：</w:t>
            </w:r>
          </w:p>
          <w:p>
            <w:pPr>
              <w:pStyle w:val="9"/>
              <w:keepNext w:val="0"/>
              <w:keepLines w:val="0"/>
              <w:pageBreakBefore w:val="0"/>
              <w:widowControl w:val="0"/>
              <w:kinsoku/>
              <w:wordWrap/>
              <w:overflowPunct/>
              <w:topLinePunct w:val="0"/>
              <w:autoSpaceDE/>
              <w:autoSpaceDN/>
              <w:bidi w:val="0"/>
              <w:adjustRightInd/>
              <w:snapToGrid/>
              <w:spacing w:line="480" w:lineRule="auto"/>
              <w:ind w:firstLine="1400" w:firstLineChars="500"/>
              <w:jc w:val="both"/>
              <w:textAlignment w:val="auto"/>
              <w:rPr>
                <w:rFonts w:hint="default"/>
                <w:lang w:val="en-US" w:eastAsia="zh-CN"/>
              </w:rPr>
            </w:pPr>
            <w:r>
              <w:rPr>
                <w:rFonts w:hint="eastAsia"/>
                <w:sz w:val="28"/>
                <w:szCs w:val="28"/>
                <w:vertAlign w:val="baseline"/>
                <w:lang w:val="en-US" w:eastAsia="zh-CN"/>
              </w:rPr>
              <w:t>含税价：                （税率：  %）大写：</w:t>
            </w:r>
          </w:p>
        </w:tc>
      </w:tr>
    </w:tbl>
    <w:p>
      <w:pPr>
        <w:pStyle w:val="9"/>
        <w:rPr>
          <w:rFonts w:hint="eastAsia"/>
        </w:rPr>
      </w:pPr>
    </w:p>
    <w:p>
      <w:pPr>
        <w:spacing w:line="360" w:lineRule="auto"/>
        <w:ind w:firstLine="480" w:firstLineChars="200"/>
        <w:rPr>
          <w:rFonts w:hint="eastAsia" w:ascii="宋体" w:hAnsi="宋体"/>
          <w:color w:val="000000"/>
          <w:sz w:val="24"/>
        </w:rPr>
      </w:pPr>
      <w:r>
        <w:rPr>
          <w:rFonts w:hint="eastAsia" w:ascii="宋体" w:hAnsi="宋体"/>
          <w:color w:val="000000"/>
          <w:sz w:val="24"/>
        </w:rPr>
        <w:t>注: 所有报价均用人民币表示,所报价格是交货地的验收价格，其总价即为履行合同的固定价格。运输、安装、调试、检验、培训、税金和保险等</w:t>
      </w:r>
      <w:r>
        <w:rPr>
          <w:rFonts w:hint="eastAsia" w:ascii="宋体" w:hAnsi="宋体"/>
          <w:color w:val="000000"/>
          <w:sz w:val="24"/>
          <w:lang w:val="en-US" w:eastAsia="zh-CN"/>
        </w:rPr>
        <w:t>为完成本项目所产生的一切</w:t>
      </w:r>
      <w:r>
        <w:rPr>
          <w:rFonts w:hint="eastAsia" w:ascii="宋体" w:hAnsi="宋体"/>
          <w:color w:val="000000"/>
          <w:sz w:val="24"/>
        </w:rPr>
        <w:t>费用以及询价文件规定的其他费用均应包含在报价中。</w:t>
      </w:r>
    </w:p>
    <w:p>
      <w:pPr>
        <w:adjustRightInd w:val="0"/>
        <w:spacing w:line="360" w:lineRule="auto"/>
        <w:ind w:firstLine="600" w:firstLineChars="25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pPr>
        <w:spacing w:line="360" w:lineRule="auto"/>
        <w:ind w:firstLine="616" w:firstLineChars="257"/>
        <w:rPr>
          <w:rFonts w:hint="default" w:ascii="宋体" w:hAnsi="宋体" w:eastAsiaTheme="minorEastAsia"/>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pPr>
        <w:spacing w:line="360" w:lineRule="auto"/>
        <w:ind w:firstLine="616" w:firstLineChars="257"/>
        <w:rPr>
          <w:rFonts w:hint="eastAsia" w:ascii="宋体" w:hAnsi="宋体"/>
          <w:color w:val="000000"/>
          <w:sz w:val="28"/>
        </w:rPr>
        <w:sectPr>
          <w:pgSz w:w="16838" w:h="11905" w:orient="landscape"/>
          <w:pgMar w:top="1803" w:right="1440" w:bottom="1803" w:left="1440" w:header="851" w:footer="992" w:gutter="0"/>
          <w:pgNumType w:fmt="decimal"/>
          <w:cols w:space="0" w:num="1"/>
          <w:rtlGutter w:val="0"/>
          <w:docGrid w:linePitch="312" w:charSpace="0"/>
        </w:sect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jc w:val="center"/>
        <w:rPr>
          <w:rFonts w:hint="eastAsia" w:ascii="宋体" w:hAnsi="宋体" w:cs="Arial"/>
          <w:b/>
          <w:bCs/>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八、供应商类似项目业绩一览表</w:t>
      </w:r>
    </w:p>
    <w:p>
      <w:pPr>
        <w:spacing w:line="360" w:lineRule="auto"/>
        <w:rPr>
          <w:rFonts w:hint="eastAsia" w:ascii="宋体" w:hAnsi="宋体" w:cs="Arial"/>
          <w:color w:val="000000"/>
          <w:sz w:val="24"/>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10"/>
        <w:gridCol w:w="1626"/>
        <w:gridCol w:w="1490"/>
        <w:gridCol w:w="1310"/>
        <w:gridCol w:w="1604"/>
        <w:gridCol w:w="1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tcBorders>
              <w:top w:val="single" w:color="auto" w:sz="4" w:space="0"/>
            </w:tcBorders>
            <w:noWrap w:val="0"/>
            <w:vAlign w:val="center"/>
          </w:tcPr>
          <w:p>
            <w:pPr>
              <w:spacing w:line="360" w:lineRule="auto"/>
              <w:ind w:firstLine="105" w:firstLineChars="50"/>
              <w:jc w:val="center"/>
              <w:rPr>
                <w:rFonts w:hint="eastAsia" w:ascii="宋体" w:hAnsi="宋体" w:cs="Arial"/>
                <w:b/>
                <w:color w:val="000000"/>
              </w:rPr>
            </w:pPr>
            <w:r>
              <w:rPr>
                <w:rFonts w:hint="eastAsia" w:ascii="宋体" w:hAnsi="宋体" w:cs="Arial"/>
                <w:b/>
                <w:color w:val="000000"/>
              </w:rPr>
              <w:t>年份</w:t>
            </w:r>
          </w:p>
        </w:tc>
        <w:tc>
          <w:tcPr>
            <w:tcW w:w="967" w:type="pct"/>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用户名称</w:t>
            </w:r>
          </w:p>
        </w:tc>
        <w:tc>
          <w:tcPr>
            <w:tcW w:w="886" w:type="pct"/>
            <w:noWrap w:val="0"/>
            <w:vAlign w:val="center"/>
          </w:tcPr>
          <w:p>
            <w:pPr>
              <w:spacing w:line="360" w:lineRule="auto"/>
              <w:jc w:val="center"/>
              <w:rPr>
                <w:rFonts w:ascii="宋体" w:hAnsi="宋体" w:cs="Arial"/>
                <w:b/>
                <w:color w:val="000000"/>
              </w:rPr>
            </w:pPr>
            <w:r>
              <w:rPr>
                <w:rFonts w:ascii="宋体" w:hAnsi="宋体" w:cs="Arial"/>
                <w:b/>
                <w:color w:val="000000"/>
              </w:rPr>
              <w:t>项目名称</w:t>
            </w:r>
          </w:p>
        </w:tc>
        <w:tc>
          <w:tcPr>
            <w:tcW w:w="779" w:type="pct"/>
            <w:noWrap w:val="0"/>
            <w:vAlign w:val="center"/>
          </w:tcPr>
          <w:p>
            <w:pPr>
              <w:spacing w:line="360" w:lineRule="auto"/>
              <w:jc w:val="center"/>
              <w:rPr>
                <w:rFonts w:ascii="宋体" w:hAnsi="宋体" w:cs="Arial"/>
                <w:b/>
                <w:color w:val="000000"/>
              </w:rPr>
            </w:pPr>
            <w:r>
              <w:rPr>
                <w:rFonts w:ascii="宋体" w:hAnsi="宋体" w:cs="Arial"/>
                <w:b/>
                <w:color w:val="000000"/>
              </w:rPr>
              <w:t>完成时间</w:t>
            </w:r>
          </w:p>
        </w:tc>
        <w:tc>
          <w:tcPr>
            <w:tcW w:w="954" w:type="pct"/>
            <w:noWrap w:val="0"/>
            <w:vAlign w:val="center"/>
          </w:tcPr>
          <w:p>
            <w:pPr>
              <w:spacing w:line="360" w:lineRule="auto"/>
              <w:ind w:firstLine="105" w:firstLineChars="50"/>
              <w:jc w:val="center"/>
              <w:rPr>
                <w:rFonts w:hint="eastAsia" w:ascii="宋体" w:hAnsi="宋体" w:cs="Arial"/>
                <w:b/>
                <w:color w:val="000000"/>
              </w:rPr>
            </w:pPr>
            <w:r>
              <w:rPr>
                <w:rFonts w:ascii="宋体" w:hAnsi="宋体" w:cs="Arial"/>
                <w:b/>
                <w:color w:val="000000"/>
              </w:rPr>
              <w:t>合同金额</w:t>
            </w:r>
          </w:p>
        </w:tc>
        <w:tc>
          <w:tcPr>
            <w:tcW w:w="932" w:type="pct"/>
            <w:tcBorders>
              <w:left w:val="single" w:color="auto" w:sz="4" w:space="0"/>
            </w:tcBorders>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tcBorders>
              <w:right w:val="single" w:color="auto" w:sz="4" w:space="0"/>
            </w:tcBorders>
            <w:noWrap w:val="0"/>
            <w:vAlign w:val="center"/>
          </w:tcPr>
          <w:p>
            <w:pPr>
              <w:spacing w:line="360" w:lineRule="auto"/>
              <w:jc w:val="center"/>
              <w:rPr>
                <w:rFonts w:ascii="宋体" w:hAnsi="宋体" w:cs="Arial"/>
                <w:color w:val="000000"/>
              </w:rPr>
            </w:pPr>
          </w:p>
        </w:tc>
        <w:tc>
          <w:tcPr>
            <w:tcW w:w="886" w:type="pct"/>
            <w:tcBorders>
              <w:left w:val="single" w:color="auto" w:sz="4" w:space="0"/>
            </w:tcBorders>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rPr>
                <w:rFonts w:hint="eastAsia" w:ascii="宋体" w:hAnsi="宋体" w:cs="Arial"/>
                <w:color w:val="000000"/>
              </w:rPr>
            </w:pPr>
          </w:p>
        </w:tc>
        <w:tc>
          <w:tcPr>
            <w:tcW w:w="967" w:type="pct"/>
            <w:noWrap w:val="0"/>
            <w:vAlign w:val="center"/>
          </w:tcPr>
          <w:p>
            <w:pPr>
              <w:spacing w:line="360" w:lineRule="auto"/>
              <w:rPr>
                <w:rFonts w:hint="eastAsia" w:ascii="宋体" w:hAnsi="宋体" w:cs="Arial"/>
                <w:color w:val="000000"/>
              </w:rPr>
            </w:pPr>
          </w:p>
        </w:tc>
        <w:tc>
          <w:tcPr>
            <w:tcW w:w="886" w:type="pct"/>
            <w:noWrap w:val="0"/>
            <w:vAlign w:val="center"/>
          </w:tcPr>
          <w:p>
            <w:pPr>
              <w:spacing w:line="360" w:lineRule="auto"/>
              <w:rPr>
                <w:rFonts w:hint="eastAsia" w:ascii="宋体" w:hAnsi="宋体" w:cs="Arial"/>
                <w:color w:val="000000"/>
              </w:rPr>
            </w:pPr>
          </w:p>
        </w:tc>
        <w:tc>
          <w:tcPr>
            <w:tcW w:w="779" w:type="pct"/>
            <w:noWrap w:val="0"/>
            <w:vAlign w:val="center"/>
          </w:tcPr>
          <w:p>
            <w:pPr>
              <w:spacing w:line="360" w:lineRule="auto"/>
              <w:rPr>
                <w:rFonts w:hint="eastAsia" w:ascii="宋体" w:hAnsi="宋体" w:cs="Arial"/>
                <w:color w:val="000000"/>
              </w:rPr>
            </w:pPr>
          </w:p>
        </w:tc>
        <w:tc>
          <w:tcPr>
            <w:tcW w:w="954" w:type="pct"/>
            <w:tcBorders>
              <w:right w:val="single" w:color="auto" w:sz="4" w:space="0"/>
            </w:tcBorders>
            <w:noWrap w:val="0"/>
            <w:vAlign w:val="center"/>
          </w:tcPr>
          <w:p>
            <w:pPr>
              <w:spacing w:line="360" w:lineRule="auto"/>
              <w:rPr>
                <w:rFonts w:hint="eastAsia" w:ascii="宋体" w:hAnsi="宋体" w:cs="Arial"/>
                <w:color w:val="000000"/>
              </w:rPr>
            </w:pPr>
          </w:p>
        </w:tc>
        <w:tc>
          <w:tcPr>
            <w:tcW w:w="932" w:type="pct"/>
            <w:tcBorders>
              <w:left w:val="single" w:color="auto" w:sz="4" w:space="0"/>
            </w:tcBorders>
            <w:noWrap w:val="0"/>
            <w:vAlign w:val="center"/>
          </w:tcPr>
          <w:p>
            <w:pPr>
              <w:spacing w:line="360" w:lineRule="auto"/>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82" w:type="pct"/>
            <w:tcBorders>
              <w:bottom w:val="single" w:color="auto" w:sz="4" w:space="0"/>
            </w:tcBorders>
            <w:noWrap w:val="0"/>
            <w:vAlign w:val="center"/>
          </w:tcPr>
          <w:p>
            <w:pPr>
              <w:spacing w:line="360" w:lineRule="auto"/>
              <w:jc w:val="center"/>
              <w:rPr>
                <w:rFonts w:ascii="宋体" w:hAnsi="宋体" w:cs="Arial"/>
                <w:color w:val="000000"/>
              </w:rPr>
            </w:pPr>
          </w:p>
        </w:tc>
        <w:tc>
          <w:tcPr>
            <w:tcW w:w="967" w:type="pct"/>
            <w:tcBorders>
              <w:bottom w:val="single" w:color="auto" w:sz="4" w:space="0"/>
            </w:tcBorders>
            <w:noWrap w:val="0"/>
            <w:vAlign w:val="center"/>
          </w:tcPr>
          <w:p>
            <w:pPr>
              <w:spacing w:line="360" w:lineRule="auto"/>
              <w:jc w:val="center"/>
              <w:rPr>
                <w:rFonts w:ascii="宋体" w:hAnsi="宋体" w:cs="Arial"/>
                <w:color w:val="000000"/>
              </w:rPr>
            </w:pPr>
          </w:p>
        </w:tc>
        <w:tc>
          <w:tcPr>
            <w:tcW w:w="886" w:type="pct"/>
            <w:tcBorders>
              <w:bottom w:val="single" w:color="auto" w:sz="4" w:space="0"/>
            </w:tcBorders>
            <w:noWrap w:val="0"/>
            <w:vAlign w:val="center"/>
          </w:tcPr>
          <w:p>
            <w:pPr>
              <w:spacing w:line="360" w:lineRule="auto"/>
              <w:jc w:val="center"/>
              <w:rPr>
                <w:rFonts w:ascii="宋体" w:hAnsi="宋体" w:cs="Arial"/>
                <w:color w:val="000000"/>
              </w:rPr>
            </w:pPr>
          </w:p>
        </w:tc>
        <w:tc>
          <w:tcPr>
            <w:tcW w:w="779" w:type="pct"/>
            <w:tcBorders>
              <w:bottom w:val="single" w:color="auto" w:sz="4" w:space="0"/>
            </w:tcBorders>
            <w:noWrap w:val="0"/>
            <w:vAlign w:val="center"/>
          </w:tcPr>
          <w:p>
            <w:pPr>
              <w:spacing w:line="360" w:lineRule="auto"/>
              <w:jc w:val="center"/>
              <w:rPr>
                <w:rFonts w:ascii="宋体" w:hAnsi="宋体" w:cs="Arial"/>
                <w:color w:val="000000"/>
              </w:rPr>
            </w:pPr>
          </w:p>
        </w:tc>
        <w:tc>
          <w:tcPr>
            <w:tcW w:w="954" w:type="pct"/>
            <w:tcBorders>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82" w:type="pct"/>
            <w:tcBorders>
              <w:top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tcBorders>
            <w:noWrap w:val="0"/>
            <w:vAlign w:val="center"/>
          </w:tcPr>
          <w:p>
            <w:pPr>
              <w:spacing w:line="360" w:lineRule="auto"/>
              <w:jc w:val="center"/>
              <w:rPr>
                <w:rFonts w:ascii="宋体" w:hAnsi="宋体" w:cs="Arial"/>
                <w:color w:val="000000"/>
              </w:rPr>
            </w:pPr>
          </w:p>
        </w:tc>
      </w:tr>
    </w:tbl>
    <w:p>
      <w:pPr>
        <w:spacing w:line="360" w:lineRule="auto"/>
        <w:ind w:left="360"/>
        <w:jc w:val="left"/>
        <w:rPr>
          <w:rFonts w:hint="eastAsia" w:ascii="宋体" w:hAnsi="宋体" w:cs="Arial"/>
          <w:color w:val="000000"/>
          <w:sz w:val="24"/>
        </w:rPr>
      </w:pPr>
      <w:r>
        <w:rPr>
          <w:rFonts w:hint="eastAsia" w:ascii="宋体" w:hAnsi="宋体" w:cs="Arial"/>
          <w:color w:val="000000"/>
          <w:sz w:val="24"/>
        </w:rPr>
        <w:t>注：以上业绩（仅限于供应商自己的）需提供有关书面证明材料。</w:t>
      </w:r>
    </w:p>
    <w:p>
      <w:pPr>
        <w:spacing w:line="360" w:lineRule="auto"/>
        <w:jc w:val="left"/>
        <w:rPr>
          <w:rFonts w:hint="eastAsia" w:ascii="宋体" w:hAnsi="宋体" w:cs="Arial"/>
          <w:color w:val="000000"/>
        </w:rPr>
      </w:pP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法定代表人或授权代表（签字）：</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日期：</w:t>
      </w:r>
    </w:p>
    <w:p>
      <w:pPr>
        <w:spacing w:line="360" w:lineRule="auto"/>
        <w:jc w:val="left"/>
        <w:rPr>
          <w:rFonts w:hint="eastAsia" w:ascii="宋体" w:hAnsi="宋体"/>
          <w:color w:val="000000"/>
          <w:sz w:val="24"/>
        </w:rPr>
      </w:pPr>
    </w:p>
    <w:p>
      <w:pPr>
        <w:spacing w:line="360" w:lineRule="auto"/>
        <w:rPr>
          <w:rFonts w:hint="eastAsia" w:ascii="宋体" w:hAnsi="宋体"/>
          <w:sz w:val="32"/>
          <w:szCs w:val="32"/>
        </w:rPr>
      </w:pPr>
    </w:p>
    <w:p>
      <w:pPr>
        <w:spacing w:line="360" w:lineRule="auto"/>
        <w:jc w:val="center"/>
        <w:rPr>
          <w:rFonts w:hint="eastAsia"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方正小标宋简体" w:hAnsi="方正小标宋简体" w:eastAsia="方正小标宋简体" w:cs="方正小标宋简体"/>
          <w:sz w:val="32"/>
          <w:szCs w:val="32"/>
          <w:highlight w:val="none"/>
          <w:lang w:val="en-US" w:eastAsia="zh-CN"/>
        </w:rPr>
      </w:pPr>
      <w:bookmarkStart w:id="81" w:name="_Toc396236632"/>
      <w:bookmarkStart w:id="82" w:name="_Toc360630814"/>
      <w:bookmarkStart w:id="83" w:name="_Toc396236158"/>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2" w:type="first"/>
          <w:footerReference r:id="rId11" w:type="default"/>
          <w:type w:val="continuous"/>
          <w:pgSz w:w="11905" w:h="16838"/>
          <w:pgMar w:top="1440" w:right="1803" w:bottom="1440" w:left="1803" w:header="851" w:footer="992" w:gutter="0"/>
          <w:pgNumType w:fmt="decimal"/>
          <w:cols w:space="0" w:num="1"/>
          <w:rtlGutter w:val="0"/>
          <w:docGrid w:linePitch="312" w:charSpace="0"/>
        </w:sect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九、维修实施及售后方案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lang w:val="en-US" w:eastAsia="zh-CN"/>
        </w:rPr>
        <w:sectPr>
          <w:footerReference r:id="rId14" w:type="first"/>
          <w:footerReference r:id="rId13" w:type="default"/>
          <w:pgSz w:w="11905" w:h="16838"/>
          <w:pgMar w:top="1440" w:right="1803" w:bottom="1440" w:left="1803" w:header="851" w:footer="992" w:gutter="0"/>
          <w:pgNumType w:fmt="decimal"/>
          <w:cols w:space="0" w:num="1"/>
          <w:rtlGutter w:val="0"/>
          <w:docGrid w:linePitch="312" w:charSpace="0"/>
        </w:sectPr>
      </w:pPr>
      <w:r>
        <w:rPr>
          <w:rFonts w:hint="eastAsia"/>
          <w:sz w:val="24"/>
          <w:szCs w:val="24"/>
          <w:highlight w:val="none"/>
          <w:lang w:val="zh-CN"/>
        </w:rPr>
        <w:t>（格式自拟）</w:t>
      </w:r>
    </w:p>
    <w:bookmarkEnd w:id="81"/>
    <w:bookmarkEnd w:id="82"/>
    <w:bookmarkEnd w:id="83"/>
    <w:p>
      <w:pPr>
        <w:spacing w:line="360" w:lineRule="auto"/>
        <w:jc w:val="center"/>
        <w:rPr>
          <w:rFonts w:hint="eastAsia" w:ascii="宋体" w:hAnsi="宋体" w:eastAsia="宋体" w:cs="Arial"/>
          <w:b/>
          <w:bCs/>
          <w:color w:val="000000"/>
          <w:sz w:val="32"/>
          <w:szCs w:val="32"/>
          <w:lang w:val="zh-CN" w:eastAsia="zh-CN"/>
        </w:rPr>
        <w:sectPr>
          <w:headerReference r:id="rId15" w:type="first"/>
          <w:footerReference r:id="rId17" w:type="first"/>
          <w:footerReference r:id="rId16" w:type="default"/>
          <w:pgSz w:w="11905" w:h="16838"/>
          <w:pgMar w:top="1440" w:right="1803" w:bottom="1440" w:left="1803" w:header="851" w:footer="992" w:gutter="0"/>
          <w:pgNumType w:fmt="decimal"/>
          <w:cols w:space="0" w:num="1"/>
          <w:rtlGutter w:val="0"/>
          <w:docGrid w:linePitch="312" w:charSpace="0"/>
        </w:sectPr>
      </w:pPr>
      <w:bookmarkStart w:id="84" w:name="_Toc1048"/>
      <w:r>
        <w:rPr>
          <w:rFonts w:hint="eastAsia" w:ascii="方正小标宋_GBK" w:hAnsi="方正小标宋_GBK" w:eastAsia="方正小标宋_GBK" w:cs="方正小标宋_GBK"/>
          <w:b w:val="0"/>
          <w:bCs/>
          <w:color w:val="auto"/>
          <w:kern w:val="28"/>
          <w:sz w:val="44"/>
          <w:szCs w:val="44"/>
          <w:highlight w:val="none"/>
          <w:lang w:val="en-US" w:eastAsia="zh-CN" w:bidi="ar-SA"/>
        </w:rPr>
        <w:t>十</w:t>
      </w:r>
      <w:r>
        <w:rPr>
          <w:rFonts w:hint="eastAsia" w:ascii="方正小标宋_GBK" w:hAnsi="方正小标宋_GBK" w:eastAsia="方正小标宋_GBK" w:cs="方正小标宋_GBK"/>
          <w:b w:val="0"/>
          <w:bCs/>
          <w:color w:val="auto"/>
          <w:kern w:val="28"/>
          <w:sz w:val="44"/>
          <w:szCs w:val="44"/>
          <w:highlight w:val="none"/>
          <w:lang w:val="zh-CN" w:eastAsia="zh-CN" w:bidi="ar-SA"/>
        </w:rPr>
        <w:t>、供应商认为有必要提供的资</w:t>
      </w:r>
      <w:bookmarkEnd w:id="84"/>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pPr>
        <w:pStyle w:val="4"/>
        <w:numPr>
          <w:ilvl w:val="0"/>
          <w:numId w:val="0"/>
        </w:numPr>
        <w:ind w:leftChars="0"/>
        <w:jc w:val="center"/>
        <w:rPr>
          <w:rFonts w:hint="eastAsia" w:ascii="宋体" w:hAnsi="宋体"/>
        </w:rPr>
      </w:pPr>
      <w:bookmarkStart w:id="85"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5"/>
    </w:p>
    <w:p>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pPr>
        <w:spacing w:line="360" w:lineRule="auto"/>
        <w:ind w:firstLine="480" w:firstLineChars="200"/>
        <w:rPr>
          <w:rFonts w:ascii="宋体" w:hAnsi="宋体"/>
          <w:sz w:val="24"/>
        </w:rPr>
      </w:pPr>
      <w:r>
        <w:rPr>
          <w:rFonts w:hint="eastAsia" w:ascii="宋体" w:hAnsi="宋体"/>
          <w:sz w:val="24"/>
        </w:rPr>
        <w:t>2.2资格及符合性审查标准</w:t>
      </w:r>
    </w:p>
    <w:tbl>
      <w:tblPr>
        <w:tblStyle w:val="17"/>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1.企业法人：提交“统一社会信用代码的营业执照”；</w:t>
            </w:r>
          </w:p>
          <w:p>
            <w:pPr>
              <w:rPr>
                <w:rFonts w:ascii="宋体" w:hAnsi="宋体"/>
                <w:szCs w:val="21"/>
              </w:rPr>
            </w:pPr>
            <w:r>
              <w:rPr>
                <w:rFonts w:hint="eastAsia" w:ascii="宋体" w:hAnsi="宋体"/>
                <w:szCs w:val="21"/>
              </w:rPr>
              <w:t>2.事业法人：提交“统一社会信用代码的事业单位法人证书”；</w:t>
            </w:r>
          </w:p>
          <w:p>
            <w:pPr>
              <w:rPr>
                <w:rFonts w:ascii="宋体" w:hAnsi="宋体"/>
                <w:szCs w:val="21"/>
              </w:rPr>
            </w:pPr>
            <w:r>
              <w:rPr>
                <w:rFonts w:hint="eastAsia" w:ascii="宋体" w:hAnsi="宋体"/>
                <w:szCs w:val="21"/>
              </w:rPr>
              <w:t>3.其他组织：提交“相关主管部门颁发的准许执业证明文件或其他证明材料”；</w:t>
            </w:r>
          </w:p>
          <w:p>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pPr>
              <w:spacing w:line="360" w:lineRule="auto"/>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参加本次采购活动前三年内</w:t>
            </w:r>
            <w:bookmarkStart w:id="86" w:name="_Hlk96806445"/>
            <w:r>
              <w:rPr>
                <w:rFonts w:hint="eastAsia" w:ascii="宋体" w:hAnsi="宋体"/>
                <w:szCs w:val="21"/>
              </w:rPr>
              <w:t>（2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w:t>
            </w:r>
            <w:bookmarkEnd w:id="86"/>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供应商单位及其现任法定代表人、主要负责人参加本次采购活动前三年内（2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w:t>
      </w:r>
      <w:r>
        <w:rPr>
          <w:rFonts w:hint="eastAsia" w:ascii="宋体" w:hAnsi="宋体"/>
          <w:sz w:val="24"/>
          <w:lang w:eastAsia="zh-CN"/>
        </w:rPr>
        <w:t>002</w:t>
      </w:r>
      <w:r>
        <w:rPr>
          <w:rFonts w:hint="eastAsia" w:ascii="宋体" w:hAnsi="宋体"/>
          <w:sz w:val="24"/>
        </w:rPr>
        <w:t>由询价小组会全体成员签字）作出，并给予供应商必要的反馈时间。</w:t>
      </w:r>
    </w:p>
    <w:p>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pPr>
        <w:pStyle w:val="3"/>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rPr>
            </w:pPr>
            <w:r>
              <w:rPr>
                <w:rFonts w:hint="eastAsia"/>
                <w:color w:val="auto"/>
                <w:highlight w:val="none"/>
                <w:lang w:val="en-US" w:eastAsia="zh-CN"/>
              </w:rPr>
              <w:t>50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50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维修实施及售后</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eastAsia="zh-CN"/>
              </w:rPr>
            </w:pPr>
            <w:r>
              <w:rPr>
                <w:rFonts w:hint="eastAsia"/>
                <w:color w:val="auto"/>
                <w:highlight w:val="none"/>
                <w:lang w:val="en-US" w:eastAsia="zh-CN"/>
              </w:rPr>
              <w:t>40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s="Times New Roman"/>
                <w:color w:val="auto"/>
                <w:kern w:val="2"/>
                <w:sz w:val="21"/>
                <w:szCs w:val="24"/>
                <w:highlight w:val="none"/>
                <w:lang w:val="en-US" w:eastAsia="zh-CN" w:bidi="ar-SA"/>
              </w:rPr>
              <w:t>根据采购人或现场踏勘的维修内容及现场制定维修实施及售后方案</w:t>
            </w:r>
            <w:r>
              <w:rPr>
                <w:rFonts w:hint="eastAsia" w:ascii="Calibri" w:hAnsi="Calibri" w:eastAsia="宋体" w:cs="Times New Roman"/>
                <w:color w:val="auto"/>
                <w:kern w:val="2"/>
                <w:sz w:val="21"/>
                <w:szCs w:val="24"/>
                <w:highlight w:val="none"/>
                <w:lang w:val="en-US" w:eastAsia="zh-CN" w:bidi="ar-SA"/>
              </w:rPr>
              <w:t>，方案思路清晰，编制进度可控，编制方案完善，内容没有交叉混乱、无漏项、条理清楚、无瑕疵或缺陷，提供的设备具有的优势，方案内容不存在不适用项目实际情况的情形、凭空编造、逻辑漏洞、原理错误以及不可能实现的夸大情形等。评估方案优秀的得（</w:t>
            </w:r>
            <w:r>
              <w:rPr>
                <w:rFonts w:hint="eastAsia" w:cs="Times New Roman"/>
                <w:color w:val="auto"/>
                <w:kern w:val="2"/>
                <w:sz w:val="21"/>
                <w:szCs w:val="24"/>
                <w:highlight w:val="none"/>
                <w:lang w:val="en-US" w:eastAsia="zh-CN" w:bidi="ar-SA"/>
              </w:rPr>
              <w:t>28</w:t>
            </w:r>
            <w:r>
              <w:rPr>
                <w:rFonts w:hint="eastAsia" w:ascii="Calibri" w:hAnsi="Calibri" w:eastAsia="宋体" w:cs="Times New Roman"/>
                <w:color w:val="auto"/>
                <w:kern w:val="2"/>
                <w:sz w:val="21"/>
                <w:szCs w:val="24"/>
                <w:highlight w:val="none"/>
                <w:lang w:val="en-US" w:eastAsia="zh-CN" w:bidi="ar-SA"/>
              </w:rPr>
              <w:t>,40]分，良好的得（14,28]，一般的得（1,14]分，不合格的得[0]分。</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highlight w:val="none"/>
                <w:lang w:val="en-US" w:eastAsia="zh-CN"/>
              </w:rPr>
            </w:pPr>
            <w:r>
              <w:rPr>
                <w:rFonts w:hint="eastAsia"/>
                <w:color w:val="auto"/>
                <w:highlight w:val="none"/>
                <w:lang w:val="en-US" w:eastAsia="zh-CN"/>
              </w:rPr>
              <w:t>近三年内，已完成或正在进行或新承接的类似业绩，每提供一个业绩得2分；本项最多得10分。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提供合同协议或中标通知书复印件并加盖公章</w:t>
            </w:r>
          </w:p>
        </w:tc>
      </w:tr>
    </w:tbl>
    <w:p>
      <w:pPr>
        <w:pStyle w:val="9"/>
        <w:rPr>
          <w:rFonts w:hint="eastAsia"/>
          <w:lang w:eastAsia="zh-CN"/>
        </w:rPr>
      </w:pPr>
    </w:p>
    <w:p>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1"/>
    <w:bookmarkEnd w:id="72"/>
    <w:bookmarkEnd w:id="73"/>
    <w:p>
      <w:pPr>
        <w:spacing w:line="360" w:lineRule="auto"/>
        <w:ind w:firstLine="480" w:firstLineChars="200"/>
        <w:rPr>
          <w:rFonts w:hint="eastAsia" w:ascii="宋体" w:hAnsi="宋体"/>
          <w:color w:val="000000"/>
          <w:sz w:val="24"/>
        </w:rPr>
      </w:pPr>
      <w:bookmarkStart w:id="87" w:name="_Toc217446099"/>
      <w:r>
        <w:rPr>
          <w:rFonts w:hint="eastAsia" w:ascii="宋体" w:hAnsi="宋体"/>
          <w:color w:val="000000"/>
          <w:sz w:val="24"/>
        </w:rPr>
        <w:t>（一）遵行依法依规应当回避的规定；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pStyle w:val="28"/>
        <w:spacing w:line="360" w:lineRule="auto"/>
        <w:ind w:firstLine="482" w:firstLineChars="0"/>
        <w:jc w:val="center"/>
        <w:rPr>
          <w:rFonts w:hint="eastAsia" w:ascii="宋体" w:hAnsi="宋体"/>
          <w:b/>
          <w:color w:val="000000"/>
          <w:sz w:val="36"/>
          <w:szCs w:val="36"/>
        </w:rPr>
      </w:pPr>
    </w:p>
    <w:p>
      <w:pPr>
        <w:pStyle w:val="28"/>
        <w:spacing w:line="360" w:lineRule="auto"/>
        <w:ind w:firstLine="482" w:firstLineChars="0"/>
        <w:jc w:val="center"/>
        <w:rPr>
          <w:rFonts w:hint="eastAsia" w:ascii="宋体" w:hAnsi="宋体"/>
          <w:b/>
          <w:color w:val="000000"/>
          <w:sz w:val="36"/>
          <w:szCs w:val="36"/>
        </w:rPr>
      </w:pPr>
    </w:p>
    <w:p>
      <w:pPr>
        <w:pStyle w:val="4"/>
        <w:numPr>
          <w:ilvl w:val="0"/>
          <w:numId w:val="0"/>
        </w:numPr>
        <w:ind w:leftChars="0"/>
        <w:jc w:val="center"/>
        <w:rPr>
          <w:rFonts w:hint="eastAsia" w:ascii="宋体" w:hAnsi="宋体"/>
        </w:rPr>
      </w:pPr>
      <w:bookmarkStart w:id="88"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8"/>
    </w:p>
    <w:p>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p>
      <w:pPr>
        <w:spacing w:line="360" w:lineRule="auto"/>
        <w:jc w:val="center"/>
        <w:rPr>
          <w:rFonts w:hint="eastAsia" w:ascii="宋体" w:hAnsi="宋体"/>
          <w:sz w:val="24"/>
        </w:rPr>
      </w:pPr>
      <w:r>
        <w:rPr>
          <w:rFonts w:hint="eastAsia" w:ascii="黑体" w:hAnsi="黑体" w:eastAsia="黑体" w:cs="Times New Roman"/>
          <w:color w:val="auto"/>
          <w:spacing w:val="-11"/>
          <w:sz w:val="44"/>
          <w:szCs w:val="44"/>
          <w:lang w:val="en-US" w:eastAsia="zh-CN"/>
        </w:rPr>
        <w:t>市人才公寓监控系统维修</w:t>
      </w:r>
      <w:r>
        <w:rPr>
          <w:rFonts w:hint="eastAsia" w:ascii="黑体" w:hAnsi="黑体" w:eastAsia="黑体" w:cs="Times New Roman"/>
          <w:color w:val="auto"/>
          <w:sz w:val="44"/>
          <w:szCs w:val="44"/>
          <w:lang w:val="en-US" w:eastAsia="zh-CN"/>
        </w:rPr>
        <w:t>采购</w:t>
      </w:r>
      <w:r>
        <w:rPr>
          <w:rFonts w:hint="eastAsia" w:ascii="黑体" w:hAnsi="黑体" w:eastAsia="黑体"/>
          <w:color w:val="auto"/>
          <w:sz w:val="44"/>
          <w:szCs w:val="44"/>
        </w:rPr>
        <w:t>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eastAsia="宋体"/>
          <w:b/>
          <w:bCs/>
          <w:sz w:val="24"/>
          <w:u w:val="single"/>
          <w:lang w:val="en-US" w:eastAsia="zh-CN"/>
        </w:rPr>
      </w:pPr>
      <w:r>
        <w:rPr>
          <w:rFonts w:hint="eastAsia" w:ascii="宋体" w:hAnsi="宋体"/>
          <w:b/>
          <w:bCs/>
          <w:sz w:val="24"/>
        </w:rPr>
        <w:t>采购方（甲方）：</w:t>
      </w:r>
      <w:r>
        <w:rPr>
          <w:rFonts w:hint="eastAsia" w:ascii="宋体" w:hAnsi="宋体"/>
          <w:b/>
          <w:bCs/>
          <w:sz w:val="24"/>
          <w:u w:val="single"/>
        </w:rPr>
        <w:t xml:space="preserve">   </w:t>
      </w:r>
      <w:r>
        <w:rPr>
          <w:rFonts w:hint="eastAsia" w:ascii="宋体" w:hAnsi="宋体"/>
          <w:b/>
          <w:bCs/>
          <w:sz w:val="24"/>
          <w:u w:val="single"/>
          <w:lang w:val="en-US" w:eastAsia="zh-CN"/>
        </w:rPr>
        <w:t xml:space="preserve">  攀枝花金沙产业投资有限公司</w:t>
      </w:r>
      <w:r>
        <w:rPr>
          <w:rFonts w:hint="eastAsia" w:ascii="宋体" w:hAnsi="宋体"/>
          <w:b/>
          <w:bCs/>
          <w:sz w:val="24"/>
          <w:u w:val="single"/>
        </w:rPr>
        <w:t xml:space="preserve">            </w:t>
      </w:r>
      <w:r>
        <w:rPr>
          <w:rFonts w:hint="eastAsia" w:ascii="宋体" w:hAnsi="宋体"/>
          <w:b/>
          <w:bCs/>
          <w:sz w:val="24"/>
          <w:u w:val="single"/>
          <w:lang w:val="en-US" w:eastAsia="zh-CN"/>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i w:val="0"/>
          <w:caps w:val="0"/>
          <w:spacing w:val="0"/>
          <w:w w:val="100"/>
          <w:sz w:val="24"/>
          <w:szCs w:val="24"/>
          <w:u w:val="single" w:color="000000"/>
          <w:lang w:val="en-US" w:eastAsia="zh-CN"/>
        </w:rPr>
        <w:t>四川省攀枝花市东区三线大道北段118号2栋</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》、《中华人民共和国产品质量法》等相关法律法规，双方经过充分友好协商，本着诚实守信、平等互利的原则，就甲方向乙方购买</w:t>
      </w:r>
      <w:r>
        <w:rPr>
          <w:rFonts w:hint="eastAsia" w:ascii="宋体" w:hAnsi="宋体"/>
          <w:sz w:val="24"/>
          <w:u w:val="single"/>
          <w:lang w:val="en-US" w:eastAsia="zh-CN"/>
        </w:rPr>
        <w:t xml:space="preserve"> 监控系统设备、材料</w:t>
      </w:r>
      <w:r>
        <w:rPr>
          <w:rFonts w:hint="eastAsia" w:ascii="宋体" w:hAnsi="宋体"/>
          <w:sz w:val="24"/>
        </w:rPr>
        <w:t>（以下简称 “货物”）用于</w:t>
      </w:r>
      <w:r>
        <w:rPr>
          <w:rFonts w:hint="eastAsia" w:ascii="宋体" w:hAnsi="宋体"/>
          <w:sz w:val="24"/>
          <w:u w:val="single"/>
          <w:lang w:val="en-US" w:eastAsia="zh-CN"/>
        </w:rPr>
        <w:t>市人才公寓监控系统维修项目</w:t>
      </w:r>
      <w:r>
        <w:rPr>
          <w:rFonts w:hint="eastAsia" w:ascii="宋体" w:hAnsi="宋体"/>
          <w:sz w:val="24"/>
        </w:rPr>
        <w:t>的相关事宜，达成如下合同条款。</w:t>
      </w:r>
    </w:p>
    <w:p>
      <w:pPr>
        <w:spacing w:line="360" w:lineRule="auto"/>
        <w:ind w:firstLine="472" w:firstLineChars="196"/>
        <w:jc w:val="left"/>
        <w:rPr>
          <w:rFonts w:hint="eastAsia" w:ascii="宋体" w:hAnsi="宋体"/>
          <w:b/>
          <w:sz w:val="24"/>
        </w:rPr>
      </w:pPr>
      <w:r>
        <w:rPr>
          <w:rFonts w:hint="eastAsia" w:ascii="宋体" w:hAnsi="宋体"/>
          <w:b/>
          <w:sz w:val="24"/>
        </w:rPr>
        <w:t>一、供货基本情况</w:t>
      </w:r>
    </w:p>
    <w:p>
      <w:pPr>
        <w:spacing w:line="360" w:lineRule="auto"/>
        <w:ind w:firstLine="240" w:firstLineChars="100"/>
        <w:jc w:val="left"/>
        <w:rPr>
          <w:rFonts w:hint="default" w:ascii="宋体" w:hAnsi="宋体" w:eastAsia="宋体"/>
          <w:sz w:val="24"/>
          <w:lang w:val="en-US" w:eastAsia="zh-CN"/>
        </w:rPr>
      </w:pPr>
      <w:r>
        <w:rPr>
          <w:rFonts w:hint="eastAsia" w:ascii="宋体" w:hAnsi="宋体"/>
          <w:sz w:val="24"/>
        </w:rPr>
        <w:t xml:space="preserve"> 供货</w:t>
      </w:r>
      <w:r>
        <w:rPr>
          <w:rFonts w:hint="eastAsia" w:ascii="宋体" w:hAnsi="宋体"/>
          <w:sz w:val="24"/>
          <w:lang w:val="en-US" w:eastAsia="zh-CN"/>
        </w:rPr>
        <w:t>清单见合同附件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u w:val="single"/>
          <w:lang w:val="en-US" w:eastAsia="zh-CN"/>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b/>
          <w:bCs/>
          <w:sz w:val="24"/>
          <w:szCs w:val="24"/>
          <w:u w:val="single"/>
          <w:lang w:val="en-US" w:eastAsia="zh-CN"/>
        </w:rPr>
        <w:t>若提供的设备货物到场验收之日起90天内，出现3次以上非人为损坏造成的硬件故障维修情况，甲方有权要求乙方免费更换。</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全部货物供货完成，甲方安装调试完成验收合格后，经双方确认后，</w:t>
      </w:r>
      <w:r>
        <w:rPr>
          <w:rFonts w:hint="eastAsia" w:ascii="宋体" w:hAnsi="宋体"/>
          <w:color w:val="auto"/>
          <w:sz w:val="24"/>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合同签订后，全部供货完成，甲方安装调试完成验收合格后，双方确认后，乙方开具全部货物合规增值税发票，甲方自收到发票并确认无误后7个工作日内予以支付全部货款。</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eastAsia" w:ascii="宋体" w:hAnsi="宋体"/>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pPr>
        <w:spacing w:line="360" w:lineRule="auto"/>
        <w:ind w:firstLine="482" w:firstLineChars="200"/>
        <w:jc w:val="left"/>
        <w:rPr>
          <w:rFonts w:hint="eastAsia" w:ascii="宋体" w:hAnsi="宋体"/>
          <w:b/>
          <w:color w:val="auto"/>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合同签订后15个日历天内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天前，乙方应</w:t>
      </w:r>
      <w:r>
        <w:rPr>
          <w:rFonts w:hint="eastAsia" w:ascii="宋体" w:hAnsi="宋体"/>
          <w:sz w:val="24"/>
          <w:lang w:val="en-US" w:eastAsia="zh-CN"/>
        </w:rPr>
        <w:t>以</w:t>
      </w:r>
      <w:r>
        <w:rPr>
          <w:rFonts w:hint="eastAsia" w:ascii="宋体" w:hAnsi="宋体"/>
          <w:sz w:val="24"/>
          <w:u w:val="single"/>
          <w:lang w:val="en-US" w:eastAsia="zh-CN"/>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b w:val="0"/>
          <w:i w:val="0"/>
          <w:caps w:val="0"/>
          <w:spacing w:val="0"/>
          <w:w w:val="100"/>
          <w:sz w:val="24"/>
          <w:szCs w:val="24"/>
          <w:u w:val="single" w:color="000000"/>
          <w:lang w:val="en-US" w:eastAsia="zh-CN"/>
        </w:rPr>
        <w:t>攀枝花市东区市人才公寓</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w:t>
      </w:r>
      <w:r>
        <w:rPr>
          <w:rFonts w:hint="eastAsia" w:ascii="宋体" w:hAnsi="宋体"/>
          <w:color w:val="auto"/>
          <w:sz w:val="24"/>
          <w:highlight w:val="none"/>
          <w:u w:val="single"/>
          <w:lang w:val="en-US" w:eastAsia="zh-CN"/>
        </w:rPr>
        <w:t>所有产品满足国家标准</w:t>
      </w:r>
      <w:r>
        <w:rPr>
          <w:rFonts w:hint="eastAsia" w:ascii="宋体" w:hAnsi="宋体"/>
          <w:color w:val="auto"/>
          <w:sz w:val="24"/>
          <w:u w:val="single"/>
        </w:rPr>
        <w:t xml:space="preserve">     </w:t>
      </w: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货物的适用范围及局限性：</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货物质量与法律法规的符合性</w:t>
      </w:r>
      <w:r>
        <w:rPr>
          <w:rFonts w:hint="eastAsia" w:ascii="宋体" w:hAnsi="宋体"/>
          <w:sz w:val="24"/>
          <w:lang w:eastAsia="zh-CN"/>
        </w:rPr>
        <w:t>：</w:t>
      </w: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lang w:eastAsia="zh-CN"/>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w:t>
      </w:r>
    </w:p>
    <w:p>
      <w:pPr>
        <w:spacing w:line="360" w:lineRule="auto"/>
        <w:ind w:firstLine="480" w:firstLineChars="200"/>
        <w:jc w:val="left"/>
        <w:rPr>
          <w:rFonts w:hint="eastAsia" w:ascii="宋体" w:hAnsi="宋体"/>
          <w:sz w:val="24"/>
        </w:rPr>
      </w:pPr>
      <w:r>
        <w:rPr>
          <w:rFonts w:hint="eastAsia" w:ascii="宋体" w:hAnsi="宋体"/>
          <w:sz w:val="24"/>
        </w:rPr>
        <w:t>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ascii="宋体" w:hAnsi="宋体"/>
          <w:sz w:val="24"/>
        </w:rPr>
      </w:pPr>
      <w:r>
        <w:rPr>
          <w:rFonts w:hint="eastAsia" w:ascii="宋体" w:hAnsi="宋体"/>
          <w:sz w:val="24"/>
        </w:rPr>
        <w:t>运输方式：</w:t>
      </w:r>
      <w:r>
        <w:rPr>
          <w:rFonts w:hint="eastAsia" w:ascii="宋体" w:hAnsi="宋体"/>
          <w:sz w:val="24"/>
          <w:u w:val="single"/>
        </w:rPr>
        <w:t xml:space="preserve">  </w:t>
      </w:r>
      <w:r>
        <w:rPr>
          <w:rFonts w:hint="eastAsia" w:ascii="宋体" w:hAnsi="宋体"/>
          <w:sz w:val="24"/>
          <w:u w:val="single"/>
          <w:lang w:val="en-US" w:eastAsia="zh-CN"/>
        </w:rPr>
        <w:t>乙方负责车辆运输至项目现场并承担运费</w:t>
      </w:r>
      <w:r>
        <w:rPr>
          <w:rFonts w:hint="eastAsia" w:ascii="宋体" w:hAnsi="宋体"/>
          <w:sz w:val="24"/>
          <w:u w:val="none"/>
          <w:lang w:val="en-US" w:eastAsia="zh-CN"/>
        </w:rPr>
        <w:t>，</w:t>
      </w: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u w:val="single"/>
        </w:rPr>
      </w:pPr>
      <w:r>
        <w:rPr>
          <w:rFonts w:hint="eastAsia" w:ascii="宋体" w:hAnsi="宋体"/>
          <w:sz w:val="24"/>
        </w:rPr>
        <w:t>乙方应负责办理产品运抵甲方指定交货地点的一切运输保险，并承担相关保险费。</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sz w:val="24"/>
          <w:u w:val="single"/>
        </w:rPr>
      </w:pPr>
      <w:r>
        <w:rPr>
          <w:rFonts w:hint="eastAsia" w:ascii="宋体" w:hAnsi="宋体"/>
          <w:sz w:val="24"/>
        </w:rPr>
        <w:t>验收方式、时间与验收标准：</w:t>
      </w:r>
      <w:r>
        <w:rPr>
          <w:rFonts w:hint="eastAsia" w:ascii="宋体" w:hAnsi="宋体"/>
          <w:color w:val="auto"/>
          <w:sz w:val="24"/>
          <w:u w:val="single"/>
          <w:lang w:val="en-US" w:eastAsia="zh-CN"/>
        </w:rPr>
        <w:t>货物到场后通知甲方现场验货。</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sz w:val="24"/>
        </w:rPr>
      </w:pPr>
      <w:r>
        <w:rPr>
          <w:rFonts w:hint="eastAsia" w:ascii="宋体" w:hAnsi="宋体"/>
          <w:sz w:val="24"/>
        </w:rPr>
        <w:t>交付</w:t>
      </w:r>
      <w:r>
        <w:rPr>
          <w:rFonts w:hint="eastAsia" w:ascii="宋体" w:hAnsi="宋体"/>
          <w:sz w:val="24"/>
          <w:lang w:eastAsia="zh-CN"/>
        </w:rPr>
        <w:t>：</w:t>
      </w:r>
      <w:r>
        <w:rPr>
          <w:rFonts w:hint="eastAsia" w:ascii="宋体" w:hAnsi="宋体"/>
          <w:sz w:val="24"/>
        </w:rPr>
        <w:t>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、质保期及质量保修</w:t>
      </w:r>
    </w:p>
    <w:p>
      <w:pPr>
        <w:spacing w:line="360" w:lineRule="auto"/>
        <w:ind w:firstLine="480" w:firstLineChars="200"/>
        <w:jc w:val="left"/>
        <w:rPr>
          <w:rFonts w:hint="eastAsia" w:ascii="宋体" w:hAnsi="宋体"/>
          <w:sz w:val="24"/>
        </w:rPr>
      </w:pPr>
      <w:r>
        <w:rPr>
          <w:rFonts w:hint="eastAsia" w:ascii="宋体" w:hAnsi="宋体"/>
          <w:sz w:val="24"/>
        </w:rPr>
        <w:t>质保期：乙方提供的产品或服务的质保期为</w:t>
      </w:r>
      <w:r>
        <w:rPr>
          <w:rFonts w:hint="eastAsia" w:ascii="宋体" w:hAnsi="宋体"/>
          <w:sz w:val="24"/>
          <w:u w:val="single"/>
        </w:rPr>
        <w:t xml:space="preserve">   </w:t>
      </w:r>
      <w:r>
        <w:rPr>
          <w:rFonts w:hint="eastAsia" w:ascii="宋体" w:hAnsi="宋体"/>
          <w:sz w:val="24"/>
          <w:u w:val="single"/>
          <w:lang w:val="en-US" w:eastAsia="zh-CN"/>
        </w:rPr>
        <w:t>两年</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u w:val="single"/>
          <w:lang w:val="en-US" w:eastAsia="zh-CN"/>
        </w:rPr>
        <w:t>设备、系统安装调试完成并</w:t>
      </w:r>
      <w:r>
        <w:rPr>
          <w:rFonts w:hint="eastAsia" w:ascii="宋体" w:hAnsi="宋体"/>
          <w:sz w:val="24"/>
          <w:u w:val="single"/>
        </w:rPr>
        <w:t xml:space="preserve">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九</w:t>
      </w:r>
      <w:r>
        <w:rPr>
          <w:rFonts w:hint="eastAsia" w:ascii="宋体" w:hAnsi="宋体"/>
          <w:b/>
          <w:sz w:val="24"/>
        </w:rPr>
        <w:t>、违约责任</w:t>
      </w:r>
    </w:p>
    <w:p>
      <w:pPr>
        <w:spacing w:line="360" w:lineRule="auto"/>
        <w:ind w:firstLine="480" w:firstLineChars="200"/>
        <w:jc w:val="left"/>
        <w:rPr>
          <w:rFonts w:hint="eastAsia" w:ascii="宋体" w:hAnsi="宋体"/>
          <w:sz w:val="24"/>
        </w:rPr>
      </w:pPr>
      <w:r>
        <w:rPr>
          <w:rFonts w:hint="eastAsia" w:ascii="宋体" w:hAnsi="宋体"/>
          <w:sz w:val="24"/>
        </w:rPr>
        <w:t>不能交货：乙方逾期交货超过</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天视为不能交货，或者有证据表明乙方不能交货，则甲方有权终止全部或未交货部分的合同，乙方向甲方承担合同总价</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逾期交货赔偿费：乙方每逾期一天按逾期部分货款总额的</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%/天计。逾期交货超过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天，甲方可解除合同，另行选择</w:t>
      </w:r>
      <w:r>
        <w:rPr>
          <w:rFonts w:hint="eastAsia" w:ascii="宋体" w:hAnsi="宋体"/>
          <w:sz w:val="24"/>
          <w:lang w:val="en-US" w:eastAsia="zh-CN"/>
        </w:rPr>
        <w:t>其他供货商</w:t>
      </w:r>
      <w:r>
        <w:rPr>
          <w:rFonts w:hint="eastAsia" w:ascii="宋体" w:hAnsi="宋体"/>
          <w:sz w:val="24"/>
        </w:rPr>
        <w:t>，乙方承担逾期交货赔偿费及因此给甲方造成的一切损失。</w:t>
      </w:r>
    </w:p>
    <w:p>
      <w:pPr>
        <w:spacing w:line="360" w:lineRule="auto"/>
        <w:ind w:firstLine="456" w:firstLineChars="200"/>
        <w:jc w:val="left"/>
        <w:rPr>
          <w:rFonts w:hint="eastAsia" w:ascii="宋体" w:hAnsi="宋体"/>
          <w:sz w:val="24"/>
        </w:rPr>
      </w:pPr>
      <w:r>
        <w:rPr>
          <w:rFonts w:hint="eastAsia" w:ascii="宋体" w:hAnsi="宋体"/>
          <w:spacing w:val="-6"/>
          <w:sz w:val="24"/>
        </w:rPr>
        <w:t>质量缺陷：乙方供应的货物质量达不到合同规定的标准，应向甲方支付合同总价</w:t>
      </w:r>
      <w:r>
        <w:rPr>
          <w:rFonts w:hint="eastAsia" w:ascii="宋体" w:hAnsi="宋体"/>
          <w:spacing w:val="-6"/>
          <w:sz w:val="24"/>
          <w:u w:val="single"/>
          <w:lang w:val="en-US" w:eastAsia="zh-CN"/>
        </w:rPr>
        <w:t>50</w:t>
      </w:r>
      <w:r>
        <w:rPr>
          <w:rFonts w:hint="eastAsia" w:ascii="宋体" w:hAnsi="宋体"/>
          <w:spacing w:val="-6"/>
          <w:sz w:val="24"/>
          <w:u w:val="single"/>
        </w:rPr>
        <w:t xml:space="preserve"> </w:t>
      </w:r>
      <w:r>
        <w:rPr>
          <w:rFonts w:hint="eastAsia" w:ascii="宋体" w:hAnsi="宋体"/>
          <w:spacing w:val="-6"/>
          <w:sz w:val="24"/>
        </w:rPr>
        <w:t>%的违约金，甲方可拒绝接收或让步接收处理，并要求乙方承担相应损失</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数量缺陷：乙方未按合同约定的数量交货时，甲方选择退货的，乙方应向甲方支付未交货部分货款总值的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包装缺陷：乙方未按合同约定包装，给甲方造成损失的应向甲方承担合同总价款</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合同的转让与分供： 乙方擅自转让供货义务或者采取分供方式供货的，应向甲方承担本合同总价款</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w:t>
      </w:r>
    </w:p>
    <w:p>
      <w:pPr>
        <w:spacing w:line="360" w:lineRule="auto"/>
        <w:ind w:firstLine="456" w:firstLineChars="200"/>
        <w:jc w:val="left"/>
        <w:rPr>
          <w:rFonts w:hint="eastAsia" w:ascii="宋体" w:hAnsi="宋体"/>
          <w:spacing w:val="-6"/>
          <w:sz w:val="24"/>
          <w:u w:val="single"/>
        </w:rPr>
      </w:pPr>
      <w:r>
        <w:rPr>
          <w:rFonts w:hint="eastAsia" w:ascii="宋体" w:hAnsi="宋体" w:eastAsia="宋体" w:cs="Times New Roman"/>
          <w:spacing w:val="-6"/>
          <w:sz w:val="24"/>
          <w:lang w:val="en-US" w:eastAsia="zh-CN"/>
        </w:rPr>
        <w:t>乙</w:t>
      </w:r>
      <w:r>
        <w:rPr>
          <w:rFonts w:hint="eastAsia" w:ascii="宋体" w:hAnsi="宋体" w:eastAsia="宋体" w:cs="Times New Roman"/>
          <w:spacing w:val="-6"/>
          <w:sz w:val="24"/>
        </w:rPr>
        <w:t>方未按合同约定的发票种类及税率</w:t>
      </w:r>
      <w:r>
        <w:rPr>
          <w:rFonts w:hint="eastAsia" w:ascii="宋体" w:hAnsi="宋体" w:eastAsia="宋体" w:cs="Times New Roman"/>
          <w:spacing w:val="-6"/>
          <w:sz w:val="24"/>
          <w:lang w:val="en-US" w:eastAsia="zh-CN"/>
        </w:rPr>
        <w:t>出具发票的</w:t>
      </w:r>
      <w:r>
        <w:rPr>
          <w:rFonts w:hint="eastAsia" w:ascii="宋体" w:hAnsi="宋体" w:eastAsia="宋体" w:cs="Times New Roman"/>
          <w:spacing w:val="-6"/>
          <w:sz w:val="24"/>
        </w:rPr>
        <w:t>，</w:t>
      </w:r>
      <w:r>
        <w:rPr>
          <w:rFonts w:hint="eastAsia" w:ascii="宋体" w:hAnsi="宋体" w:eastAsia="宋体" w:cs="Times New Roman"/>
          <w:spacing w:val="-6"/>
          <w:sz w:val="24"/>
          <w:lang w:val="en-US" w:eastAsia="zh-CN"/>
        </w:rPr>
        <w:t>甲方有权拒绝支付货款，且不承担责任</w:t>
      </w:r>
      <w:r>
        <w:rPr>
          <w:rFonts w:hint="eastAsia" w:ascii="宋体" w:hAnsi="宋体" w:eastAsia="宋体" w:cs="Times New Roman"/>
          <w:spacing w:val="-6"/>
          <w:sz w:val="24"/>
        </w:rPr>
        <w:t>。</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、合同生效</w:t>
      </w:r>
    </w:p>
    <w:p>
      <w:pPr>
        <w:spacing w:line="360" w:lineRule="auto"/>
        <w:ind w:firstLine="480" w:firstLineChars="200"/>
        <w:jc w:val="left"/>
        <w:rPr>
          <w:rFonts w:hint="eastAsia" w:ascii="宋体" w:hAnsi="宋体"/>
          <w:sz w:val="24"/>
        </w:rPr>
      </w:pPr>
      <w:r>
        <w:rPr>
          <w:rFonts w:hint="eastAsia" w:ascii="宋体" w:hAnsi="宋体"/>
          <w:sz w:val="24"/>
        </w:rPr>
        <w:t>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本合同一式</w:t>
      </w:r>
      <w:r>
        <w:rPr>
          <w:rFonts w:hint="eastAsia" w:ascii="宋体" w:hAnsi="宋体"/>
          <w:sz w:val="24"/>
          <w:u w:val="single"/>
        </w:rPr>
        <w:t xml:space="preserve">  </w:t>
      </w:r>
      <w:r>
        <w:rPr>
          <w:rFonts w:hint="eastAsia" w:ascii="宋体" w:hAnsi="宋体"/>
          <w:sz w:val="24"/>
          <w:u w:val="single"/>
          <w:lang w:val="en-US" w:eastAsia="zh-CN"/>
        </w:rPr>
        <w:t>肆</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w:t>
      </w:r>
      <w:r>
        <w:rPr>
          <w:rFonts w:hint="eastAsia" w:ascii="宋体" w:hAnsi="宋体"/>
          <w:sz w:val="24"/>
          <w:lang w:val="en-US" w:eastAsia="zh-CN"/>
        </w:rPr>
        <w:t>经办</w:t>
      </w:r>
      <w:r>
        <w:rPr>
          <w:rFonts w:hint="eastAsia" w:ascii="宋体" w:hAnsi="宋体"/>
          <w:sz w:val="24"/>
        </w:rPr>
        <w:t>人签字并加盖甲方公章后方发生效力，任何其他人的签字、仅加盖公章无甲方</w:t>
      </w:r>
      <w:r>
        <w:rPr>
          <w:rFonts w:hint="eastAsia" w:ascii="宋体" w:hAnsi="宋体"/>
          <w:sz w:val="24"/>
          <w:lang w:val="en-US" w:eastAsia="zh-CN"/>
        </w:rPr>
        <w:t>经办</w:t>
      </w:r>
      <w:r>
        <w:rPr>
          <w:rFonts w:hint="eastAsia" w:ascii="宋体" w:hAnsi="宋体"/>
          <w:sz w:val="24"/>
        </w:rPr>
        <w:t>人签字、仅有甲方</w:t>
      </w:r>
      <w:r>
        <w:rPr>
          <w:rFonts w:hint="eastAsia" w:ascii="宋体" w:hAnsi="宋体"/>
          <w:sz w:val="24"/>
          <w:lang w:val="en-US" w:eastAsia="zh-CN"/>
        </w:rPr>
        <w:t>经办</w:t>
      </w:r>
      <w:r>
        <w:rPr>
          <w:rFonts w:hint="eastAsia" w:ascii="宋体" w:hAnsi="宋体"/>
          <w:sz w:val="24"/>
        </w:rPr>
        <w:t>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本合同是否为涉密合同（是/否）：</w:t>
      </w:r>
      <w:r>
        <w:rPr>
          <w:rFonts w:hint="eastAsia" w:ascii="宋体" w:hAnsi="宋体"/>
          <w:sz w:val="24"/>
          <w:u w:val="single"/>
        </w:rPr>
        <w:t xml:space="preserve">  </w:t>
      </w:r>
      <w:r>
        <w:rPr>
          <w:rFonts w:hint="eastAsia" w:ascii="宋体" w:hAnsi="宋体"/>
          <w:sz w:val="24"/>
          <w:u w:val="single"/>
          <w:lang w:val="en-US" w:eastAsia="zh-CN"/>
        </w:rPr>
        <w:t>否</w:t>
      </w:r>
      <w:r>
        <w:rPr>
          <w:rFonts w:hint="eastAsia" w:ascii="宋体" w:hAnsi="宋体"/>
          <w:sz w:val="24"/>
          <w:u w:val="single"/>
        </w:rPr>
        <w:t xml:space="preserve">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合同附件：1、采购设备材料报价清单</w:t>
      </w:r>
    </w:p>
    <w:p>
      <w:pPr>
        <w:pStyle w:val="9"/>
        <w:rPr>
          <w:rFonts w:hint="default"/>
          <w:lang w:val="en-US" w:eastAsia="zh-CN"/>
        </w:rPr>
      </w:pPr>
      <w:r>
        <w:rPr>
          <w:rFonts w:hint="eastAsia" w:ascii="宋体" w:hAnsi="宋体"/>
          <w:sz w:val="24"/>
          <w:lang w:val="en-US" w:eastAsia="zh-CN"/>
        </w:rPr>
        <w:t xml:space="preserve">              2、廉政协议</w:t>
      </w:r>
    </w:p>
    <w:p>
      <w:pPr>
        <w:spacing w:line="360" w:lineRule="auto"/>
        <w:ind w:firstLine="480" w:firstLineChars="200"/>
        <w:jc w:val="left"/>
        <w:rPr>
          <w:rFonts w:hint="eastAsia" w:ascii="宋体" w:hAnsi="宋体"/>
          <w:sz w:val="24"/>
        </w:rPr>
      </w:pPr>
      <w:r>
        <w:rPr>
          <w:rFonts w:hint="eastAsia" w:ascii="宋体" w:hAnsi="宋体"/>
          <w:sz w:val="24"/>
        </w:rPr>
        <w:t>（以下无正文）</w:t>
      </w:r>
    </w:p>
    <w:tbl>
      <w:tblPr>
        <w:tblStyle w:val="18"/>
        <w:tblpPr w:leftFromText="180" w:rightFromText="180" w:vertAnchor="text" w:horzAnchor="page" w:tblpX="1747" w:tblpY="951"/>
        <w:tblOverlap w:val="never"/>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810"/>
        <w:gridCol w:w="1414"/>
        <w:gridCol w:w="1778"/>
        <w:gridCol w:w="844"/>
        <w:gridCol w:w="812"/>
        <w:gridCol w:w="1201"/>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trPr>
        <w:tc>
          <w:tcPr>
            <w:tcW w:w="1653" w:type="dxa"/>
            <w:gridSpan w:val="2"/>
            <w:tcBorders>
              <w:tl2br w:val="nil"/>
              <w:tr2bl w:val="nil"/>
            </w:tcBorders>
            <w:noWrap w:val="0"/>
            <w:vAlign w:val="bottom"/>
          </w:tcPr>
          <w:p>
            <w:pPr>
              <w:jc w:val="both"/>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val="en-US" w:eastAsia="zh-CN"/>
              </w:rPr>
              <w:t>甲方</w:t>
            </w:r>
            <w:r>
              <w:rPr>
                <w:rFonts w:hint="eastAsia" w:ascii="宋体" w:hAnsi="宋体" w:eastAsia="宋体" w:cs="宋体"/>
                <w:b/>
                <w:bCs/>
                <w:sz w:val="24"/>
                <w:szCs w:val="24"/>
                <w:u w:val="none"/>
                <w:lang w:eastAsia="zh-CN"/>
              </w:rPr>
              <w:t>（盖章）：</w:t>
            </w:r>
          </w:p>
        </w:tc>
        <w:tc>
          <w:tcPr>
            <w:tcW w:w="3192" w:type="dxa"/>
            <w:gridSpan w:val="2"/>
            <w:tcBorders>
              <w:tl2br w:val="nil"/>
              <w:tr2bl w:val="nil"/>
            </w:tcBorders>
            <w:noWrap w:val="0"/>
            <w:vAlign w:val="bottom"/>
          </w:tcPr>
          <w:p>
            <w:pPr>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 xml:space="preserve"> </w:t>
            </w:r>
          </w:p>
        </w:tc>
        <w:tc>
          <w:tcPr>
            <w:tcW w:w="1656" w:type="dxa"/>
            <w:gridSpan w:val="2"/>
            <w:tcBorders>
              <w:tl2br w:val="nil"/>
              <w:tr2bl w:val="nil"/>
            </w:tcBorders>
            <w:noWrap w:val="0"/>
            <w:vAlign w:val="bottom"/>
          </w:tcPr>
          <w:p>
            <w:pPr>
              <w:jc w:val="both"/>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乙方</w:t>
            </w:r>
            <w:r>
              <w:rPr>
                <w:rFonts w:hint="eastAsia" w:ascii="宋体" w:hAnsi="宋体" w:eastAsia="宋体" w:cs="宋体"/>
                <w:b/>
                <w:bCs/>
                <w:sz w:val="24"/>
                <w:szCs w:val="24"/>
              </w:rPr>
              <w:t>（盖章）：</w:t>
            </w:r>
          </w:p>
        </w:tc>
        <w:tc>
          <w:tcPr>
            <w:tcW w:w="3223" w:type="dxa"/>
            <w:gridSpan w:val="2"/>
            <w:tcBorders>
              <w:tl2br w:val="nil"/>
              <w:tr2bl w:val="nil"/>
            </w:tcBorders>
            <w:noWrap w:val="0"/>
            <w:vAlign w:val="bottom"/>
          </w:tcPr>
          <w:p>
            <w:pPr>
              <w:jc w:val="both"/>
              <w:rPr>
                <w:rFonts w:hint="eastAsia" w:ascii="宋体" w:hAnsi="宋体" w:eastAsia="宋体" w:cs="宋体"/>
                <w:b/>
                <w:bCs/>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653" w:type="dxa"/>
            <w:gridSpan w:val="2"/>
            <w:tcBorders>
              <w:tl2br w:val="nil"/>
              <w:tr2bl w:val="nil"/>
            </w:tcBorders>
            <w:noWrap w:val="0"/>
            <w:vAlign w:val="bottom"/>
          </w:tcPr>
          <w:p>
            <w:pPr>
              <w:jc w:val="both"/>
              <w:rPr>
                <w:rFonts w:hint="eastAsia" w:ascii="宋体" w:hAnsi="宋体" w:eastAsia="宋体" w:cs="宋体"/>
                <w:b/>
                <w:bCs/>
                <w:sz w:val="24"/>
                <w:szCs w:val="24"/>
                <w:u w:val="none"/>
                <w:lang w:eastAsia="zh-CN"/>
              </w:rPr>
            </w:pPr>
          </w:p>
        </w:tc>
        <w:tc>
          <w:tcPr>
            <w:tcW w:w="3192" w:type="dxa"/>
            <w:gridSpan w:val="2"/>
            <w:tcBorders>
              <w:tl2br w:val="nil"/>
              <w:tr2bl w:val="nil"/>
            </w:tcBorders>
            <w:noWrap w:val="0"/>
            <w:vAlign w:val="bottom"/>
          </w:tcPr>
          <w:p>
            <w:pPr>
              <w:jc w:val="both"/>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val="en-US" w:eastAsia="zh-CN"/>
              </w:rPr>
              <w:t xml:space="preserve"> </w:t>
            </w:r>
          </w:p>
        </w:tc>
        <w:tc>
          <w:tcPr>
            <w:tcW w:w="1656" w:type="dxa"/>
            <w:gridSpan w:val="2"/>
            <w:tcBorders>
              <w:tl2br w:val="nil"/>
              <w:tr2bl w:val="nil"/>
            </w:tcBorders>
            <w:noWrap w:val="0"/>
            <w:vAlign w:val="bottom"/>
          </w:tcPr>
          <w:p>
            <w:pPr>
              <w:jc w:val="both"/>
              <w:rPr>
                <w:rFonts w:hint="eastAsia" w:ascii="宋体" w:hAnsi="宋体" w:eastAsia="宋体" w:cs="宋体"/>
                <w:b/>
                <w:bCs/>
                <w:kern w:val="2"/>
                <w:sz w:val="24"/>
                <w:szCs w:val="24"/>
                <w:lang w:val="en-US" w:eastAsia="zh-CN" w:bidi="ar-SA"/>
              </w:rPr>
            </w:pPr>
          </w:p>
        </w:tc>
        <w:tc>
          <w:tcPr>
            <w:tcW w:w="3223" w:type="dxa"/>
            <w:gridSpan w:val="2"/>
            <w:tcBorders>
              <w:tl2br w:val="nil"/>
              <w:tr2bl w:val="nil"/>
            </w:tcBorders>
            <w:noWrap w:val="0"/>
            <w:vAlign w:val="bottom"/>
          </w:tcPr>
          <w:p>
            <w:pPr>
              <w:jc w:val="both"/>
              <w:rPr>
                <w:rFonts w:hint="eastAsia" w:ascii="宋体" w:hAnsi="宋体" w:eastAsia="宋体" w:cs="宋体"/>
                <w:b/>
                <w:bCs/>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exact"/>
        </w:trPr>
        <w:tc>
          <w:tcPr>
            <w:tcW w:w="3067" w:type="dxa"/>
            <w:gridSpan w:val="3"/>
            <w:tcBorders>
              <w:tl2br w:val="nil"/>
              <w:tr2bl w:val="nil"/>
            </w:tcBorders>
            <w:noWrap w:val="0"/>
            <w:vAlign w:val="bottom"/>
          </w:tcPr>
          <w:p>
            <w:pPr>
              <w:jc w:val="left"/>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val="en-US" w:eastAsia="zh-CN"/>
              </w:rPr>
              <w:t>经办</w:t>
            </w:r>
            <w:r>
              <w:rPr>
                <w:rFonts w:hint="eastAsia" w:ascii="宋体" w:hAnsi="宋体" w:eastAsia="宋体" w:cs="宋体"/>
                <w:b/>
                <w:bCs/>
                <w:sz w:val="24"/>
                <w:szCs w:val="24"/>
                <w:u w:val="none"/>
                <w:lang w:eastAsia="zh-CN"/>
              </w:rPr>
              <w:t>人（签字</w:t>
            </w:r>
            <w:r>
              <w:rPr>
                <w:rFonts w:hint="eastAsia" w:ascii="宋体" w:hAnsi="宋体" w:eastAsia="宋体" w:cs="宋体"/>
                <w:b/>
                <w:bCs/>
                <w:sz w:val="24"/>
                <w:szCs w:val="24"/>
                <w:u w:val="none"/>
                <w:lang w:val="en-US" w:eastAsia="zh-CN"/>
              </w:rPr>
              <w:t>或盖章</w:t>
            </w:r>
            <w:r>
              <w:rPr>
                <w:rFonts w:hint="eastAsia" w:ascii="宋体" w:hAnsi="宋体" w:eastAsia="宋体" w:cs="宋体"/>
                <w:b/>
                <w:bCs/>
                <w:sz w:val="24"/>
                <w:szCs w:val="24"/>
                <w:u w:val="none"/>
                <w:lang w:eastAsia="zh-CN"/>
              </w:rPr>
              <w:t>）：</w:t>
            </w:r>
          </w:p>
        </w:tc>
        <w:tc>
          <w:tcPr>
            <w:tcW w:w="1778" w:type="dxa"/>
            <w:tcBorders>
              <w:tl2br w:val="nil"/>
              <w:tr2bl w:val="nil"/>
            </w:tcBorders>
            <w:noWrap w:val="0"/>
            <w:vAlign w:val="bottom"/>
          </w:tcPr>
          <w:p>
            <w:pPr>
              <w:jc w:val="both"/>
              <w:rPr>
                <w:rFonts w:hint="eastAsia" w:ascii="宋体" w:hAnsi="宋体" w:eastAsia="宋体" w:cs="宋体"/>
                <w:b/>
                <w:bCs/>
                <w:sz w:val="24"/>
                <w:szCs w:val="24"/>
                <w:u w:val="none"/>
                <w:lang w:val="en-US" w:eastAsia="zh-CN"/>
              </w:rPr>
            </w:pPr>
          </w:p>
        </w:tc>
        <w:tc>
          <w:tcPr>
            <w:tcW w:w="2857" w:type="dxa"/>
            <w:gridSpan w:val="3"/>
            <w:tcBorders>
              <w:tl2br w:val="nil"/>
              <w:tr2bl w:val="nil"/>
            </w:tcBorders>
            <w:noWrap w:val="0"/>
            <w:vAlign w:val="bottom"/>
          </w:tcPr>
          <w:p>
            <w:pPr>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经办</w:t>
            </w:r>
            <w:r>
              <w:rPr>
                <w:rFonts w:hint="eastAsia" w:ascii="宋体" w:hAnsi="宋体" w:eastAsia="宋体" w:cs="宋体"/>
                <w:b/>
                <w:bCs/>
                <w:sz w:val="24"/>
                <w:szCs w:val="24"/>
              </w:rPr>
              <w:t>人（签字</w:t>
            </w:r>
            <w:r>
              <w:rPr>
                <w:rFonts w:hint="eastAsia" w:ascii="宋体" w:hAnsi="宋体" w:eastAsia="宋体" w:cs="宋体"/>
                <w:b/>
                <w:bCs/>
                <w:sz w:val="24"/>
                <w:szCs w:val="24"/>
                <w:lang w:val="en-US" w:eastAsia="zh-CN"/>
              </w:rPr>
              <w:t>或盖章</w:t>
            </w:r>
            <w:r>
              <w:rPr>
                <w:rFonts w:hint="eastAsia" w:ascii="宋体" w:hAnsi="宋体" w:eastAsia="宋体" w:cs="宋体"/>
                <w:b/>
                <w:bCs/>
                <w:sz w:val="24"/>
                <w:szCs w:val="24"/>
              </w:rPr>
              <w:t>）：</w:t>
            </w:r>
          </w:p>
        </w:tc>
        <w:tc>
          <w:tcPr>
            <w:tcW w:w="2022" w:type="dxa"/>
            <w:tcBorders>
              <w:tl2br w:val="nil"/>
              <w:tr2bl w:val="nil"/>
            </w:tcBorders>
            <w:noWrap w:val="0"/>
            <w:vAlign w:val="bottom"/>
          </w:tcPr>
          <w:p>
            <w:pPr>
              <w:jc w:val="both"/>
              <w:rPr>
                <w:rFonts w:hint="eastAsia" w:ascii="宋体" w:hAnsi="宋体" w:eastAsia="宋体" w:cs="宋体"/>
                <w:b/>
                <w:bCs/>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exact"/>
        </w:trPr>
        <w:tc>
          <w:tcPr>
            <w:tcW w:w="843" w:type="dxa"/>
            <w:tcBorders>
              <w:tl2br w:val="nil"/>
              <w:tr2bl w:val="nil"/>
            </w:tcBorders>
            <w:noWrap w:val="0"/>
            <w:vAlign w:val="bottom"/>
          </w:tcPr>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日期：</w:t>
            </w:r>
          </w:p>
        </w:tc>
        <w:tc>
          <w:tcPr>
            <w:tcW w:w="4002" w:type="dxa"/>
            <w:gridSpan w:val="3"/>
            <w:tcBorders>
              <w:tl2br w:val="nil"/>
              <w:tr2bl w:val="nil"/>
            </w:tcBorders>
            <w:noWrap w:val="0"/>
            <w:vAlign w:val="bottom"/>
          </w:tcPr>
          <w:p>
            <w:pPr>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年  月  日</w:t>
            </w:r>
          </w:p>
        </w:tc>
        <w:tc>
          <w:tcPr>
            <w:tcW w:w="844" w:type="dxa"/>
            <w:tcBorders>
              <w:tl2br w:val="nil"/>
              <w:tr2bl w:val="nil"/>
            </w:tcBorders>
            <w:noWrap w:val="0"/>
            <w:vAlign w:val="bottom"/>
          </w:tcPr>
          <w:p>
            <w:pPr>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日期：</w:t>
            </w:r>
          </w:p>
        </w:tc>
        <w:tc>
          <w:tcPr>
            <w:tcW w:w="4035" w:type="dxa"/>
            <w:gridSpan w:val="3"/>
            <w:tcBorders>
              <w:tl2br w:val="nil"/>
              <w:tr2bl w:val="nil"/>
            </w:tcBorders>
            <w:noWrap w:val="0"/>
            <w:vAlign w:val="bottom"/>
          </w:tcPr>
          <w:p>
            <w:pPr>
              <w:jc w:val="both"/>
              <w:rPr>
                <w:rFonts w:hint="eastAsia" w:ascii="宋体" w:hAnsi="宋体" w:eastAsia="宋体" w:cs="宋体"/>
                <w:b/>
                <w:bCs/>
                <w:kern w:val="2"/>
                <w:sz w:val="24"/>
                <w:szCs w:val="24"/>
                <w:u w:val="none"/>
                <w:lang w:val="en-US" w:eastAsia="zh-CN" w:bidi="ar-SA"/>
              </w:rPr>
            </w:pPr>
            <w:r>
              <w:rPr>
                <w:rFonts w:hint="eastAsia" w:ascii="宋体" w:hAnsi="宋体" w:eastAsia="宋体" w:cs="宋体"/>
                <w:b/>
                <w:bCs/>
                <w:sz w:val="24"/>
                <w:szCs w:val="24"/>
                <w:u w:val="no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bookmarkEnd w:id="87"/>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pPr>
        <w:spacing w:line="360" w:lineRule="auto"/>
        <w:ind w:firstLine="640" w:firstLineChars="200"/>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附件1、采购设备材料报价清单</w:t>
      </w: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eastAsia" w:ascii="黑体" w:hAnsi="黑体" w:eastAsia="黑体" w:cs="黑体"/>
          <w:b w:val="0"/>
          <w:bCs w:val="0"/>
          <w:color w:val="auto"/>
          <w:sz w:val="32"/>
          <w:szCs w:val="32"/>
          <w:highlight w:val="none"/>
          <w:lang w:val="en-US" w:eastAsia="zh-CN"/>
        </w:rPr>
      </w:pPr>
    </w:p>
    <w:p>
      <w:pPr>
        <w:pStyle w:val="2"/>
        <w:rPr>
          <w:rFonts w:hint="default" w:ascii="黑体" w:hAnsi="黑体" w:eastAsia="黑体" w:cs="黑体"/>
          <w:b w:val="0"/>
          <w:bCs w:val="0"/>
          <w:color w:val="auto"/>
          <w:sz w:val="32"/>
          <w:szCs w:val="32"/>
          <w:highlight w:val="none"/>
          <w:lang w:val="en-US" w:eastAsia="zh-CN"/>
        </w:rPr>
      </w:pPr>
    </w:p>
    <w:p>
      <w:pPr>
        <w:pStyle w:val="29"/>
        <w:spacing w:line="500" w:lineRule="exac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附件2、廉洁协议</w:t>
      </w:r>
    </w:p>
    <w:p>
      <w:pPr>
        <w:pStyle w:val="29"/>
        <w:widowControl/>
        <w:spacing w:after="200" w:line="276" w:lineRule="auto"/>
        <w:jc w:val="left"/>
        <w:rPr>
          <w:rFonts w:hint="eastAsia" w:ascii="黑体" w:hAnsi="黑体" w:eastAsia="黑体" w:cs="黑体"/>
          <w:b w:val="0"/>
          <w:bCs w:val="0"/>
          <w:color w:val="auto"/>
          <w:sz w:val="32"/>
          <w:szCs w:val="32"/>
          <w:highlight w:val="none"/>
          <w:lang w:val="en-US" w:eastAsia="zh-CN"/>
        </w:rPr>
      </w:pPr>
    </w:p>
    <w:p>
      <w:pPr>
        <w:pStyle w:val="29"/>
        <w:spacing w:line="50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廉洁协议</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根据有关廉政建设的规定，为保证</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建设高效优质，保证建设资金的安全和有效使用以及投资效益，项目委托人</w:t>
      </w:r>
      <w:r>
        <w:rPr>
          <w:rFonts w:hint="default" w:ascii="Times New Roman" w:hAnsi="Times New Roman" w:eastAsia="仿宋_GB2312" w:cs="Times New Roman"/>
          <w:color w:val="auto"/>
          <w:sz w:val="32"/>
          <w:szCs w:val="32"/>
          <w:highlight w:val="none"/>
          <w:u w:val="single"/>
          <w:lang w:val="en-US" w:eastAsia="zh-CN"/>
        </w:rPr>
        <w:t>攀枝花金沙产业投资有限公司</w:t>
      </w:r>
      <w:r>
        <w:rPr>
          <w:rFonts w:hint="default" w:ascii="Times New Roman" w:hAnsi="Times New Roman" w:eastAsia="仿宋_GB2312" w:cs="Times New Roman"/>
          <w:color w:val="auto"/>
          <w:sz w:val="32"/>
          <w:szCs w:val="32"/>
          <w:highlight w:val="none"/>
        </w:rPr>
        <w:t>（以下简称“甲方”）与</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（以下简称“乙方”），特订立如下合同。</w:t>
      </w:r>
    </w:p>
    <w:p>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甲乙双方的权利和义务</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）严格遵守党的政策规定和国家有关法律法规的规定。</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）严格执行合同</w:t>
      </w:r>
      <w:r>
        <w:rPr>
          <w:rFonts w:hint="default" w:ascii="Times New Roman" w:hAnsi="Times New Roman" w:eastAsia="仿宋_GB2312" w:cs="Times New Roman"/>
          <w:color w:val="auto"/>
          <w:sz w:val="32"/>
          <w:szCs w:val="32"/>
          <w:highlight w:val="none"/>
          <w:lang w:eastAsia="zh-CN"/>
        </w:rPr>
        <w:t>约定</w:t>
      </w:r>
      <w:r>
        <w:rPr>
          <w:rFonts w:hint="default" w:ascii="Times New Roman" w:hAnsi="Times New Roman" w:eastAsia="仿宋_GB2312" w:cs="Times New Roman"/>
          <w:color w:val="auto"/>
          <w:sz w:val="32"/>
          <w:szCs w:val="32"/>
          <w:highlight w:val="none"/>
        </w:rPr>
        <w:t>，自觉按合同办事。</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）双方的业务活动坚持公开、公正、诚信、透明的原则（法律认定的商业秘密和合同文件另有规定除外），不得损害国家和集体利益，违反</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建设管理规章制度。</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）建立健全廉政制度，开展廉政教育，设立廉政告示牌，公布举报电话，监督并认真查处违法违纪行为。</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）发现对方在业务活动中有违反廉政规定的行为，有及时提醒对方纠正的权利和义务。</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）发现对方严重违反本合同义务条款的行为，有向其上级有关部门举报、建议给予处理并要求告知处理结果的权利。</w:t>
      </w:r>
    </w:p>
    <w:p>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甲方的义务</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）甲方及其工作人员不得索要或接受乙方的礼金、有价证券和贵重物品，不得在乙方报销任何应由甲方或甲方工作人员个人支付的费用等。</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）甲方工作人员不得参加乙方安排的宴请和娱乐活动；不得接受乙方提供的通讯工具、交通工具和高档办公用品等。</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）甲方及其工作人员不得要求或者接受乙方为其住房装修、婚丧嫁娶活动、配偶子女的工作安排以及出国出境、旅游等提供方便等。</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）甲方工作人员及其配偶、子女不得从事与甲方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有关的材料设备供应、</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分包、劳务等经济活动等。</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）甲方及其工作人员不得以任何理由向乙方推荐分包单位或推销材料，不得要求乙方购买合同规定外的材料和设备。</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）甲方工作人员要秉公办事，不准营私舞弊，不准利用职权从事各种个人有偿中介活动和安排个人施工队伍。</w:t>
      </w:r>
    </w:p>
    <w:p>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乙方义务</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）乙方不得以任何理由向甲方及其工作人员行贿或馈赠礼金、有价证券、贵重礼品。</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bookmarkStart w:id="89" w:name="_Toc276457660"/>
      <w:bookmarkStart w:id="90" w:name="_Toc286326650"/>
      <w:bookmarkStart w:id="91" w:name="_Toc276457718"/>
      <w:bookmarkStart w:id="92" w:name="_Toc353369067"/>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）乙方不得以任何名义为甲方及其工作人员报销应由甲方单位或个人支付的任何费用。</w:t>
      </w:r>
      <w:bookmarkEnd w:id="89"/>
      <w:bookmarkEnd w:id="90"/>
      <w:bookmarkEnd w:id="91"/>
      <w:bookmarkEnd w:id="92"/>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）乙方不得以任何理由邀请甲方、施工单位及其工作人员参加宴请及娱乐活动，违者违约处罚2万元。</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）乙方不得为甲方单位和个人购置或提供通讯工具、交通工具和高档办公用品等。</w:t>
      </w:r>
    </w:p>
    <w:p>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违约责任</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）甲方及其工作人员违反本合同第一、二条，按管理权限，依据有关规定给予党纪、政纪或组织处理；涉嫌犯罪的，移交司法机关追究刑事责任；给乙方单位造成经济损失的，应予以赔偿。</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及其工作人员违反本合同第一、三条，按管理权限，依据有关规定给予党纪、政纪或组织处理；给甲方单位造成经济损失的，应予以赔偿；情节严重的，甲方建议主管部门给予乙方一至三年内不得进入其主管的</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市场的处罚。</w:t>
      </w:r>
    </w:p>
    <w:p>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双方约定</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本合同由双方或双方上级单位的纪检监察部门负责监督执行。由委托人或委托人上级单位的纪检监察部门约请</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上级单位纪检监察部门对本合同执行情况进行检查，提出在本合同规定范围内的裁定意见。</w:t>
      </w:r>
    </w:p>
    <w:p>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本合同有效期</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甲乙双方签署之日起至该工程项目竣工验收且保修期满后止。</w:t>
      </w:r>
    </w:p>
    <w:p>
      <w:pPr>
        <w:pStyle w:val="29"/>
        <w:spacing w:line="5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七、其他</w:t>
      </w:r>
    </w:p>
    <w:p>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本合同正本—式肆份，合同双方各执贰份，</w:t>
      </w:r>
      <w:r>
        <w:rPr>
          <w:rFonts w:hint="default" w:ascii="Times New Roman" w:hAnsi="Times New Roman" w:eastAsia="仿宋_GB2312" w:cs="Times New Roman"/>
          <w:color w:val="auto"/>
          <w:sz w:val="32"/>
          <w:szCs w:val="32"/>
          <w:highlight w:val="none"/>
          <w:lang w:eastAsia="zh-Hans"/>
        </w:rPr>
        <w:t>具有同等法律效力</w:t>
      </w:r>
      <w:r>
        <w:rPr>
          <w:rFonts w:hint="default" w:ascii="Times New Roman" w:hAnsi="Times New Roman" w:eastAsia="仿宋_GB2312" w:cs="Times New Roman"/>
          <w:color w:val="auto"/>
          <w:sz w:val="32"/>
          <w:szCs w:val="32"/>
          <w:highlight w:val="none"/>
        </w:rPr>
        <w:t xml:space="preserve">。  </w:t>
      </w:r>
    </w:p>
    <w:p>
      <w:pPr>
        <w:pStyle w:val="29"/>
        <w:adjustRightInd w:val="0"/>
        <w:snapToGrid w:val="0"/>
        <w:spacing w:line="600" w:lineRule="exact"/>
        <w:rPr>
          <w:rFonts w:hint="default" w:ascii="Times New Roman" w:hAnsi="Times New Roman" w:eastAsia="仿宋_GB2312" w:cs="Times New Roman"/>
          <w:color w:val="auto"/>
          <w:sz w:val="32"/>
          <w:szCs w:val="32"/>
          <w:highlight w:val="none"/>
        </w:rPr>
      </w:pPr>
    </w:p>
    <w:p>
      <w:pPr>
        <w:pStyle w:val="29"/>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9"/>
        <w:adjustRightInd w:val="0"/>
        <w:snapToGrid w:val="0"/>
        <w:spacing w:line="600" w:lineRule="exact"/>
        <w:rPr>
          <w:rFonts w:hint="default" w:ascii="Times New Roman" w:hAnsi="Times New Roman" w:eastAsia="仿宋_GB2312" w:cs="Times New Roman"/>
          <w:color w:val="auto"/>
          <w:sz w:val="32"/>
          <w:szCs w:val="32"/>
          <w:highlight w:val="none"/>
        </w:rPr>
      </w:pPr>
    </w:p>
    <w:p>
      <w:pPr>
        <w:pStyle w:val="29"/>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p>
    <w:p>
      <w:r>
        <w:rPr>
          <w:rFonts w:hint="default" w:ascii="Times New Roman" w:hAnsi="Times New Roman" w:eastAsia="仿宋_GB2312" w:cs="Times New Roman"/>
          <w:color w:val="auto"/>
          <w:sz w:val="32"/>
          <w:szCs w:val="32"/>
          <w:highlight w:val="none"/>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u w:val="single"/>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6"/>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5511CEB"/>
    <w:multiLevelType w:val="multilevel"/>
    <w:tmpl w:val="05511CEB"/>
    <w:lvl w:ilvl="0" w:tentative="0">
      <w:start w:val="1"/>
      <w:numFmt w:val="chineseCountingThousand"/>
      <w:pStyle w:val="4"/>
      <w:suff w:val="nothing"/>
      <w:lvlText w:val="第%1条、"/>
      <w:lvlJc w:val="left"/>
      <w:pPr>
        <w:ind w:left="0" w:firstLine="0"/>
      </w:pPr>
    </w:lvl>
    <w:lvl w:ilvl="1" w:tentative="0">
      <w:start w:val="1"/>
      <w:numFmt w:val="decimal"/>
      <w:pStyle w:val="5"/>
      <w:isLgl/>
      <w:suff w:val="nothing"/>
      <w:lvlText w:val="%1.%2、"/>
      <w:lvlJc w:val="left"/>
      <w:pPr>
        <w:ind w:left="0" w:firstLine="425"/>
      </w:pPr>
    </w:lvl>
    <w:lvl w:ilvl="2" w:tentative="0">
      <w:start w:val="1"/>
      <w:numFmt w:val="decimal"/>
      <w:pStyle w:val="6"/>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2">
    <w:nsid w:val="56F3CEF3"/>
    <w:multiLevelType w:val="singleLevel"/>
    <w:tmpl w:val="56F3CEF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s>
  <w:rsids>
    <w:rsidRoot w:val="50223DF8"/>
    <w:rsid w:val="05A056BD"/>
    <w:rsid w:val="067032E2"/>
    <w:rsid w:val="096D1D5A"/>
    <w:rsid w:val="09D122E9"/>
    <w:rsid w:val="0B2428ED"/>
    <w:rsid w:val="0D1F15BD"/>
    <w:rsid w:val="0E780F91"/>
    <w:rsid w:val="11CE3FA6"/>
    <w:rsid w:val="11D5049D"/>
    <w:rsid w:val="1A8C5DB8"/>
    <w:rsid w:val="1C444B9D"/>
    <w:rsid w:val="20286583"/>
    <w:rsid w:val="250B28F4"/>
    <w:rsid w:val="25CB3C39"/>
    <w:rsid w:val="262F241A"/>
    <w:rsid w:val="2B6909AC"/>
    <w:rsid w:val="328F5FEE"/>
    <w:rsid w:val="41133FB1"/>
    <w:rsid w:val="417967E7"/>
    <w:rsid w:val="48CE11C6"/>
    <w:rsid w:val="50223DF8"/>
    <w:rsid w:val="507765E7"/>
    <w:rsid w:val="528079D5"/>
    <w:rsid w:val="55C93441"/>
    <w:rsid w:val="58807CD5"/>
    <w:rsid w:val="5E13716D"/>
    <w:rsid w:val="63293771"/>
    <w:rsid w:val="65051FBC"/>
    <w:rsid w:val="6CE30E35"/>
    <w:rsid w:val="762B73A9"/>
    <w:rsid w:val="7727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5">
    <w:name w:val="heading 2"/>
    <w:basedOn w:val="1"/>
    <w:next w:val="1"/>
    <w:qFormat/>
    <w:uiPriority w:val="0"/>
    <w:pPr>
      <w:numPr>
        <w:ilvl w:val="1"/>
        <w:numId w:val="1"/>
      </w:numPr>
      <w:spacing w:line="360" w:lineRule="auto"/>
      <w:jc w:val="left"/>
      <w:outlineLvl w:val="1"/>
    </w:pPr>
    <w:rPr>
      <w:bCs/>
      <w:kern w:val="24"/>
      <w:sz w:val="24"/>
      <w:szCs w:val="32"/>
    </w:rPr>
  </w:style>
  <w:style w:type="paragraph" w:styleId="6">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992"/>
      </w:tabs>
      <w:ind w:firstLine="420"/>
    </w:pPr>
    <w:rPr>
      <w:szCs w:val="20"/>
    </w:rPr>
  </w:style>
  <w:style w:type="paragraph" w:styleId="3">
    <w:name w:val="Body Text Indent"/>
    <w:basedOn w:val="1"/>
    <w:semiHidden/>
    <w:unhideWhenUsed/>
    <w:qFormat/>
    <w:uiPriority w:val="99"/>
    <w:pPr>
      <w:spacing w:after="120"/>
      <w:ind w:left="420" w:leftChars="200"/>
    </w:pPr>
  </w:style>
  <w:style w:type="paragraph" w:styleId="7">
    <w:name w:val="index 8"/>
    <w:basedOn w:val="1"/>
    <w:next w:val="1"/>
    <w:qFormat/>
    <w:uiPriority w:val="0"/>
    <w:pPr>
      <w:ind w:left="1400" w:leftChars="1400"/>
    </w:pPr>
    <w:rPr>
      <w:szCs w:val="24"/>
    </w:rPr>
  </w:style>
  <w:style w:type="paragraph" w:styleId="8">
    <w:name w:val="Normal Indent"/>
    <w:basedOn w:val="1"/>
    <w:qFormat/>
    <w:uiPriority w:val="0"/>
    <w:pPr>
      <w:ind w:firstLine="420" w:firstLineChars="200"/>
    </w:pPr>
  </w:style>
  <w:style w:type="paragraph" w:styleId="9">
    <w:name w:val="Body Text"/>
    <w:basedOn w:val="1"/>
    <w:next w:val="10"/>
    <w:unhideWhenUsed/>
    <w:qFormat/>
    <w:uiPriority w:val="99"/>
    <w:pPr>
      <w:spacing w:after="120"/>
    </w:pPr>
  </w:style>
  <w:style w:type="paragraph" w:styleId="10">
    <w:name w:val="Body Text First Indent"/>
    <w:basedOn w:val="9"/>
    <w:qFormat/>
    <w:uiPriority w:val="0"/>
    <w:pPr>
      <w:ind w:firstLine="420" w:firstLineChars="100"/>
    </w:pPr>
  </w:style>
  <w:style w:type="paragraph" w:styleId="11">
    <w:name w:val="footer"/>
    <w:basedOn w:val="1"/>
    <w:semiHidden/>
    <w:unhideWhenUsed/>
    <w:qFormat/>
    <w:uiPriority w:val="99"/>
    <w:pPr>
      <w:tabs>
        <w:tab w:val="center" w:pos="4153"/>
        <w:tab w:val="right" w:pos="8306"/>
      </w:tabs>
      <w:snapToGrid w:val="0"/>
      <w:jc w:val="left"/>
    </w:pPr>
    <w:rPr>
      <w:sz w:val="18"/>
      <w:szCs w:val="18"/>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5">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6">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rFonts w:cs="Times New Roman"/>
      <w:color w:val="0000FF"/>
      <w:u w:val="single"/>
    </w:rPr>
  </w:style>
  <w:style w:type="character" w:styleId="21">
    <w:name w:val="annotation reference"/>
    <w:qFormat/>
    <w:uiPriority w:val="0"/>
    <w:rPr>
      <w:sz w:val="21"/>
      <w:szCs w:val="21"/>
    </w:rPr>
  </w:style>
  <w:style w:type="paragraph" w:customStyle="1" w:styleId="22">
    <w:name w:val="_Style 6"/>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3">
    <w:name w:val="正文首行缩进两字符"/>
    <w:basedOn w:val="1"/>
    <w:qFormat/>
    <w:uiPriority w:val="99"/>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符号）三标题1.1"/>
    <w:basedOn w:val="1"/>
    <w:qFormat/>
    <w:uiPriority w:val="99"/>
    <w:pPr>
      <w:numPr>
        <w:ilvl w:val="1"/>
        <w:numId w:val="2"/>
      </w:numPr>
      <w:spacing w:line="500" w:lineRule="exact"/>
    </w:pPr>
    <w:rPr>
      <w:rFonts w:ascii="宋体" w:hAnsi="宋体"/>
      <w:sz w:val="24"/>
    </w:rPr>
  </w:style>
  <w:style w:type="paragraph" w:customStyle="1" w:styleId="27">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2024-12-09T06:54:00Z</dcterms:created>
  <dc:creator>赵辰</dc:creator>
  <cp:lastModifiedBy>杨玲青</cp:lastModifiedBy>
  <cp:lastPrinted>2024-12-11T03:40:00Z</cp:lastPrinted>
  <dcterms:modified xsi:type="dcterms:W3CDTF">2024-12-12T11:10:53Z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6633C2A099D947C5A962E61BCA3815FA_11</vt:lpwstr>
  </property>
</Properties>
</file>