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69</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国投大厦大厅</w:t>
      </w:r>
      <w:r>
        <w:rPr>
          <w:rFonts w:hint="eastAsia" w:ascii="Times New Roman" w:hAnsi="Times New Roman"/>
          <w:bCs/>
          <w:sz w:val="52"/>
          <w:szCs w:val="52"/>
          <w:u w:val="single"/>
          <w:lang w:val="en-US" w:eastAsia="zh-CN"/>
        </w:rPr>
        <w:t>一</w:t>
      </w:r>
      <w:r>
        <w:rPr>
          <w:rFonts w:hint="eastAsia" w:ascii="Times New Roman" w:hAnsi="Times New Roman"/>
          <w:bCs/>
          <w:sz w:val="52"/>
          <w:szCs w:val="52"/>
          <w:u w:val="single"/>
        </w:rPr>
        <w:t>层商业区域改造工程--玻璃隔断(含安装)采购项目</w:t>
      </w:r>
    </w:p>
    <w:p>
      <w:pPr>
        <w:spacing w:line="360" w:lineRule="auto"/>
        <w:jc w:val="center"/>
        <w:rPr>
          <w:rFonts w:hint="default" w:ascii="Times New Roman" w:hAnsi="Times New Roman" w:eastAsia="宋体"/>
          <w:bCs/>
          <w:sz w:val="52"/>
          <w:szCs w:val="52"/>
          <w:u w:val="single"/>
          <w:lang w:val="en-US" w:eastAsia="zh-CN"/>
        </w:rPr>
      </w:pPr>
      <w:bookmarkStart w:id="62" w:name="_GoBack"/>
      <w:bookmarkEnd w:id="62"/>
      <w:r>
        <w:rPr>
          <w:rFonts w:hint="eastAsia" w:ascii="Times New Roman" w:hAnsi="Times New Roman"/>
          <w:bCs/>
          <w:sz w:val="52"/>
          <w:szCs w:val="52"/>
          <w:u w:val="single"/>
          <w:lang w:val="en-US" w:eastAsia="zh-CN"/>
        </w:rPr>
        <w:t>(第二次)</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国投大厦大厅1层商业区域改造工程--玻璃隔断(含安装)采购项目(第二次)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69</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国投大厦大厅1层商业区域改造工程--玻璃隔断(含安装)采购项目(第二次)</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16.5</w:t>
      </w:r>
      <w:r>
        <w:rPr>
          <w:rFonts w:hint="eastAsia" w:ascii="Times New Roman" w:hAnsi="Times New Roman"/>
          <w:color w:val="auto"/>
          <w:sz w:val="24"/>
          <w:u w:val="single"/>
        </w:rPr>
        <w:t>万元</w:t>
      </w:r>
      <w:r>
        <w:rPr>
          <w:rFonts w:hint="eastAsia" w:ascii="Times New Roman" w:hAnsi="Times New Roman"/>
          <w:color w:val="auto"/>
          <w:sz w:val="24"/>
          <w:u w:val="single"/>
          <w:lang w:val="en-US" w:eastAsia="zh-CN"/>
        </w:rPr>
        <w:t>(含税)</w:t>
      </w:r>
      <w:r>
        <w:rPr>
          <w:rFonts w:hint="eastAsia" w:ascii="Times New Roman" w:hAnsi="Times New Roman"/>
          <w:color w:val="auto"/>
          <w:sz w:val="24"/>
          <w:u w:val="single"/>
        </w:rPr>
        <w:t>，以每种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w:t>
      </w:r>
      <w:r>
        <w:rPr>
          <w:rFonts w:hint="eastAsia" w:ascii="Times New Roman" w:hAnsi="Times New Roman"/>
          <w:color w:val="auto"/>
          <w:sz w:val="24"/>
          <w:u w:val="single"/>
          <w:lang w:val="en-US" w:eastAsia="zh-CN"/>
        </w:rPr>
        <w:t>及安装的</w:t>
      </w:r>
      <w:r>
        <w:rPr>
          <w:rFonts w:hint="eastAsia" w:ascii="Times New Roman" w:hAnsi="Times New Roman"/>
          <w:color w:val="auto"/>
          <w:sz w:val="24"/>
          <w:u w:val="single"/>
        </w:rPr>
        <w:t>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三线达到118号2栋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31</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04</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04</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b/>
          <w:bCs/>
          <w:sz w:val="24"/>
        </w:rPr>
      </w:pPr>
    </w:p>
    <w:p>
      <w:pPr>
        <w:spacing w:line="360" w:lineRule="auto"/>
        <w:ind w:left="945" w:leftChars="450"/>
        <w:rPr>
          <w:rFonts w:ascii="Times New Roman" w:hAnsi="Times New Roman"/>
        </w:rPr>
      </w:pP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pacing w:line="360" w:lineRule="auto"/>
              <w:ind w:firstLine="482" w:firstLineChars="200"/>
              <w:rPr>
                <w:rFonts w:hint="eastAsia" w:ascii="Times New Roman" w:hAnsi="Times New Roman"/>
                <w:b/>
                <w:bCs/>
                <w:color w:val="auto"/>
                <w:sz w:val="24"/>
                <w:u w:val="single"/>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16.5</w:t>
            </w:r>
            <w:r>
              <w:rPr>
                <w:rFonts w:hint="eastAsia" w:ascii="Times New Roman" w:hAnsi="Times New Roman"/>
                <w:b/>
                <w:bCs/>
                <w:color w:val="auto"/>
                <w:sz w:val="24"/>
                <w:u w:val="single"/>
              </w:rPr>
              <w:t>万元</w:t>
            </w:r>
            <w:r>
              <w:rPr>
                <w:rFonts w:hint="eastAsia" w:ascii="Times New Roman" w:hAnsi="Times New Roman"/>
                <w:b/>
                <w:bCs/>
                <w:color w:val="auto"/>
                <w:sz w:val="24"/>
                <w:u w:val="single"/>
                <w:lang w:val="en-US" w:eastAsia="zh-CN"/>
              </w:rPr>
              <w:t>(含税)</w:t>
            </w:r>
            <w:r>
              <w:rPr>
                <w:rFonts w:hint="eastAsia" w:ascii="Times New Roman" w:hAnsi="Times New Roman"/>
                <w:b/>
                <w:bCs/>
                <w:color w:val="auto"/>
                <w:sz w:val="24"/>
                <w:u w:val="single"/>
              </w:rPr>
              <w:t>，以每种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b/>
                <w:bCs/>
                <w:color w:val="auto"/>
                <w:sz w:val="24"/>
                <w:u w:val="single"/>
                <w:lang w:eastAsia="zh-CN"/>
              </w:rPr>
              <w:t>，</w:t>
            </w:r>
            <w:r>
              <w:rPr>
                <w:rFonts w:hint="eastAsia" w:ascii="Times New Roman" w:hAnsi="Times New Roman"/>
                <w:b/>
                <w:bCs/>
                <w:color w:val="auto"/>
                <w:sz w:val="24"/>
                <w:u w:val="single"/>
              </w:rPr>
              <w:t>以实际交货</w:t>
            </w:r>
            <w:r>
              <w:rPr>
                <w:rFonts w:hint="eastAsia" w:ascii="Times New Roman" w:hAnsi="Times New Roman"/>
                <w:b/>
                <w:bCs/>
                <w:color w:val="auto"/>
                <w:sz w:val="24"/>
                <w:u w:val="single"/>
                <w:lang w:val="en-US" w:eastAsia="zh-CN"/>
              </w:rPr>
              <w:t>及安装的</w:t>
            </w:r>
            <w:r>
              <w:rPr>
                <w:rFonts w:hint="eastAsia" w:ascii="Times New Roman" w:hAnsi="Times New Roman"/>
                <w:b/>
                <w:bCs/>
                <w:color w:val="auto"/>
                <w:sz w:val="24"/>
                <w:u w:val="single"/>
              </w:rPr>
              <w:t>数量进行结算。</w:t>
            </w:r>
          </w:p>
          <w:p>
            <w:pPr>
              <w:shd w:val="clear" w:color="auto" w:fill="FFFFFF"/>
              <w:spacing w:line="360" w:lineRule="auto"/>
              <w:ind w:firstLine="480" w:firstLineChars="200"/>
              <w:jc w:val="left"/>
              <w:rPr>
                <w:rFonts w:ascii="Times New Roman" w:hAnsi="Times New Roman"/>
              </w:rPr>
            </w:pP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51435</wp:posOffset>
                  </wp:positionV>
                  <wp:extent cx="1725295" cy="3027680"/>
                  <wp:effectExtent l="0" t="0" r="8255" b="127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11"/>
                          <a:stretch>
                            <a:fillRect/>
                          </a:stretch>
                        </pic:blipFill>
                        <pic:spPr>
                          <a:xfrm>
                            <a:off x="0" y="0"/>
                            <a:ext cx="1725295" cy="302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eastAsia="仿宋_GB2312"/>
          <w:lang w:val="en-US" w:eastAsia="zh-CN"/>
        </w:rPr>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764033"/>
      <w:bookmarkStart w:id="52" w:name="_Toc96761122"/>
      <w:bookmarkStart w:id="53" w:name="_Toc96446261"/>
      <w:bookmarkStart w:id="54" w:name="_Toc94345768"/>
      <w:bookmarkStart w:id="55" w:name="_Toc11832144"/>
      <w:bookmarkStart w:id="56" w:name="_Toc1356430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10"/>
                <w:szCs w:val="13"/>
              </w:rPr>
            </w:pPr>
            <w:r>
              <w:rPr>
                <w:rFonts w:hint="eastAsia"/>
                <w:sz w:val="10"/>
                <w:szCs w:val="13"/>
              </w:rPr>
              <w:t>甲级防火玻璃门的规范要求主要包括以下几个方面‌：</w:t>
            </w:r>
          </w:p>
          <w:p>
            <w:pPr>
              <w:rPr>
                <w:rFonts w:hint="eastAsia"/>
                <w:sz w:val="10"/>
                <w:szCs w:val="13"/>
              </w:rPr>
            </w:pPr>
            <w:r>
              <w:rPr>
                <w:rFonts w:hint="eastAsia"/>
                <w:sz w:val="10"/>
                <w:szCs w:val="13"/>
              </w:rPr>
              <w:t xml:space="preserve">  耐火极限‌：甲级防火玻璃门的耐火极限为1.5小时（1.50h）。</w:t>
            </w:r>
          </w:p>
          <w:p>
            <w:pPr>
              <w:rPr>
                <w:rFonts w:hint="eastAsia"/>
                <w:sz w:val="10"/>
                <w:szCs w:val="13"/>
              </w:rPr>
            </w:pPr>
            <w:r>
              <w:rPr>
                <w:rFonts w:hint="eastAsia"/>
                <w:sz w:val="10"/>
                <w:szCs w:val="13"/>
              </w:rPr>
              <w:t xml:space="preserve">  门扇和门框的厚度‌：甲级防火玻璃门的门扇厚度一般为1.5毫米，门框厚度为1.2毫米。门扇面板采用冷轧薄钢板，厚度为1.2毫米，加固件采用1.5毫米厚的钢板，且加固件还要设有螺旋，钢板的厚度不低于3.0毫米‌。</w:t>
            </w:r>
          </w:p>
          <w:p>
            <w:pPr>
              <w:rPr>
                <w:rFonts w:hint="eastAsia"/>
                <w:sz w:val="10"/>
                <w:szCs w:val="13"/>
              </w:rPr>
            </w:pPr>
            <w:r>
              <w:rPr>
                <w:rFonts w:hint="eastAsia"/>
                <w:sz w:val="10"/>
                <w:szCs w:val="13"/>
              </w:rPr>
              <w:t xml:space="preserve">  门框填充材料‌：防火玻璃门框内部填充物是耐温1200℃以上的优质硅酸铝纤维棉，表面做静电喷塑处理。门框采用密封槽，槽内嵌装由不燃性材料制成的密封条。</w:t>
            </w:r>
          </w:p>
          <w:p>
            <w:pPr>
              <w:rPr>
                <w:rFonts w:hint="eastAsia" w:ascii="宋体" w:hAnsi="宋体" w:eastAsia="宋体" w:cs="宋体"/>
                <w:i w:val="0"/>
                <w:iCs w:val="0"/>
                <w:color w:val="000000"/>
                <w:sz w:val="22"/>
                <w:szCs w:val="22"/>
                <w:u w:val="none"/>
              </w:rPr>
            </w:pPr>
            <w:r>
              <w:rPr>
                <w:rFonts w:hint="eastAsia"/>
                <w:sz w:val="10"/>
                <w:szCs w:val="13"/>
              </w:rPr>
              <w:t xml:space="preserve">  五金配件：与防火玻璃门配套的是不锈钢防火锁或者管井锁、钢制镀锌或者不锈钢防火铰链。五金配件的熔融温度不低于950℃，安装在门上的合页不得使用双向的弹簧‌。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国投大厦大厅一层商业区域改造工程--</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玻璃隔断(含安装)采购项目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国投大厦大厅</w:t>
      </w:r>
      <w:r>
        <w:rPr>
          <w:rFonts w:hint="eastAsia" w:ascii="宋体" w:hAnsi="宋体"/>
          <w:sz w:val="24"/>
          <w:u w:val="single"/>
          <w:lang w:val="en-US" w:eastAsia="zh-CN"/>
        </w:rPr>
        <w:t>一</w:t>
      </w:r>
      <w:r>
        <w:rPr>
          <w:rFonts w:hint="eastAsia" w:ascii="宋体" w:hAnsi="宋体"/>
          <w:sz w:val="24"/>
          <w:u w:val="single"/>
        </w:rPr>
        <w:t>层商业区域改造工程</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w:t>
      </w:r>
      <w:r>
        <w:rPr>
          <w:rFonts w:hint="eastAsia" w:ascii="宋体" w:hAnsi="宋体"/>
          <w:sz w:val="24"/>
          <w:lang w:val="en-US" w:eastAsia="zh-CN"/>
        </w:rPr>
        <w:t>含税</w:t>
      </w:r>
      <w:r>
        <w:rPr>
          <w:rFonts w:hint="eastAsia" w:ascii="宋体" w:hAnsi="宋体"/>
          <w:sz w:val="24"/>
        </w:rPr>
        <w:t>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w:t>
      </w:r>
      <w:r>
        <w:rPr>
          <w:rFonts w:hint="eastAsia" w:ascii="宋体" w:hAnsi="宋体"/>
          <w:sz w:val="24"/>
          <w:u w:val="single"/>
          <w:lang w:val="en-US" w:eastAsia="zh-CN"/>
        </w:rPr>
        <w:t>15</w:t>
      </w:r>
      <w:r>
        <w:rPr>
          <w:rFonts w:hint="eastAsia" w:ascii="宋体" w:hAnsi="宋体"/>
          <w:sz w:val="24"/>
          <w:u w:val="single"/>
        </w:rPr>
        <w:t>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1520" w:type="dxa"/>
        <w:tblInd w:w="-1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15"/>
        <w:gridCol w:w="1230"/>
        <w:gridCol w:w="795"/>
        <w:gridCol w:w="1200"/>
        <w:gridCol w:w="1305"/>
        <w:gridCol w:w="130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5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国投大厦大厅一层商业区域改造工程--玻璃隔断(含安装)采购项目--报价清单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电动夹胶钢化玻璃门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6+6mm，含黑钛拉丝不锈钢边框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钢化夹胶玻璃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钢化磨砂玻璃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钢化玻璃贴渐变膜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含安装及所需辅材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电动中空防火玻璃门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6+12+6mm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51435</wp:posOffset>
                  </wp:positionV>
                  <wp:extent cx="1725295" cy="3027680"/>
                  <wp:effectExtent l="0" t="0" r="8255" b="127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1"/>
                          <a:stretch>
                            <a:fillRect/>
                          </a:stretch>
                        </pic:blipFill>
                        <pic:spPr>
                          <a:xfrm>
                            <a:off x="0" y="0"/>
                            <a:ext cx="1725295" cy="302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合计：</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注：税率根据税务局核定税率为准，上述材料数量为暂估数，以实际交货安装验收合格的数量进行结算。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60288;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5C4D2E"/>
    <w:rsid w:val="0076465A"/>
    <w:rsid w:val="008F64B5"/>
    <w:rsid w:val="0091275D"/>
    <w:rsid w:val="009570C6"/>
    <w:rsid w:val="00AA37C8"/>
    <w:rsid w:val="00C37357"/>
    <w:rsid w:val="00CD3D38"/>
    <w:rsid w:val="00CD4D8E"/>
    <w:rsid w:val="00D45719"/>
    <w:rsid w:val="00E43089"/>
    <w:rsid w:val="00EB5359"/>
    <w:rsid w:val="00EC369F"/>
    <w:rsid w:val="00EE0CE2"/>
    <w:rsid w:val="00EE3374"/>
    <w:rsid w:val="012B64AF"/>
    <w:rsid w:val="020C3B2F"/>
    <w:rsid w:val="025832D3"/>
    <w:rsid w:val="02EE59E6"/>
    <w:rsid w:val="036A59B4"/>
    <w:rsid w:val="03CA17F4"/>
    <w:rsid w:val="04065188"/>
    <w:rsid w:val="04131BA8"/>
    <w:rsid w:val="049B6EAD"/>
    <w:rsid w:val="058C1C12"/>
    <w:rsid w:val="064E336B"/>
    <w:rsid w:val="0696086E"/>
    <w:rsid w:val="075935F4"/>
    <w:rsid w:val="07E332FF"/>
    <w:rsid w:val="07FC173B"/>
    <w:rsid w:val="08314CF2"/>
    <w:rsid w:val="09C845C0"/>
    <w:rsid w:val="09DD1360"/>
    <w:rsid w:val="0C3F0755"/>
    <w:rsid w:val="0C62191E"/>
    <w:rsid w:val="0E09534C"/>
    <w:rsid w:val="0E466A71"/>
    <w:rsid w:val="108D2CE2"/>
    <w:rsid w:val="10B1300C"/>
    <w:rsid w:val="10D91A83"/>
    <w:rsid w:val="110F7B9B"/>
    <w:rsid w:val="11556A4D"/>
    <w:rsid w:val="130C6140"/>
    <w:rsid w:val="13482467"/>
    <w:rsid w:val="144B713C"/>
    <w:rsid w:val="16813312"/>
    <w:rsid w:val="17681DB3"/>
    <w:rsid w:val="18661881"/>
    <w:rsid w:val="18A14941"/>
    <w:rsid w:val="18B97D11"/>
    <w:rsid w:val="18E37943"/>
    <w:rsid w:val="1A4E1B1C"/>
    <w:rsid w:val="1BA109F0"/>
    <w:rsid w:val="1C0138BF"/>
    <w:rsid w:val="1CEB14BC"/>
    <w:rsid w:val="1D6F437D"/>
    <w:rsid w:val="1D920A05"/>
    <w:rsid w:val="1F72088A"/>
    <w:rsid w:val="1FD55B0C"/>
    <w:rsid w:val="1FDD64D9"/>
    <w:rsid w:val="20112FE8"/>
    <w:rsid w:val="207B4905"/>
    <w:rsid w:val="20EC75B1"/>
    <w:rsid w:val="216D6944"/>
    <w:rsid w:val="21821CC3"/>
    <w:rsid w:val="21F01AD7"/>
    <w:rsid w:val="22031056"/>
    <w:rsid w:val="225D1E12"/>
    <w:rsid w:val="22811BC0"/>
    <w:rsid w:val="23CE7442"/>
    <w:rsid w:val="24101808"/>
    <w:rsid w:val="250F2FA2"/>
    <w:rsid w:val="26E26AAC"/>
    <w:rsid w:val="27A6495D"/>
    <w:rsid w:val="2A4C6D92"/>
    <w:rsid w:val="2B147E30"/>
    <w:rsid w:val="2B8613F2"/>
    <w:rsid w:val="2C673F8F"/>
    <w:rsid w:val="2C6F1319"/>
    <w:rsid w:val="2D012636"/>
    <w:rsid w:val="2E1E4B22"/>
    <w:rsid w:val="2F032177"/>
    <w:rsid w:val="2F6D7D7A"/>
    <w:rsid w:val="2F794705"/>
    <w:rsid w:val="2F963509"/>
    <w:rsid w:val="308C05DF"/>
    <w:rsid w:val="31606055"/>
    <w:rsid w:val="31C3435E"/>
    <w:rsid w:val="31CF5279"/>
    <w:rsid w:val="32492AC3"/>
    <w:rsid w:val="334B2928"/>
    <w:rsid w:val="33CF758C"/>
    <w:rsid w:val="34A770C6"/>
    <w:rsid w:val="36A55DE0"/>
    <w:rsid w:val="371807ED"/>
    <w:rsid w:val="38820ABF"/>
    <w:rsid w:val="390F0422"/>
    <w:rsid w:val="39B47EC2"/>
    <w:rsid w:val="39CF4C1E"/>
    <w:rsid w:val="3AB24230"/>
    <w:rsid w:val="3CDB69FF"/>
    <w:rsid w:val="3DB17760"/>
    <w:rsid w:val="3F125FDD"/>
    <w:rsid w:val="3FCE0E18"/>
    <w:rsid w:val="3FDA0DE9"/>
    <w:rsid w:val="405E3BCF"/>
    <w:rsid w:val="4110479E"/>
    <w:rsid w:val="41650F97"/>
    <w:rsid w:val="419D24D5"/>
    <w:rsid w:val="41C07F72"/>
    <w:rsid w:val="4255690C"/>
    <w:rsid w:val="43290B76"/>
    <w:rsid w:val="43947AC8"/>
    <w:rsid w:val="44666B79"/>
    <w:rsid w:val="45D56FCB"/>
    <w:rsid w:val="460F771A"/>
    <w:rsid w:val="462431C5"/>
    <w:rsid w:val="48D367DD"/>
    <w:rsid w:val="490C7F41"/>
    <w:rsid w:val="49B900A4"/>
    <w:rsid w:val="49DA3B9B"/>
    <w:rsid w:val="4B553B41"/>
    <w:rsid w:val="4BCD7E5B"/>
    <w:rsid w:val="4C7F728B"/>
    <w:rsid w:val="4DB50BA7"/>
    <w:rsid w:val="4E8A6653"/>
    <w:rsid w:val="50FB3D29"/>
    <w:rsid w:val="516118A9"/>
    <w:rsid w:val="523C3645"/>
    <w:rsid w:val="526C3AC7"/>
    <w:rsid w:val="53487DC7"/>
    <w:rsid w:val="53A33E25"/>
    <w:rsid w:val="54576514"/>
    <w:rsid w:val="54CA4F23"/>
    <w:rsid w:val="56310FE7"/>
    <w:rsid w:val="5668527E"/>
    <w:rsid w:val="579D445B"/>
    <w:rsid w:val="5814530F"/>
    <w:rsid w:val="58347A0F"/>
    <w:rsid w:val="5991071A"/>
    <w:rsid w:val="59D2663D"/>
    <w:rsid w:val="59E81EE2"/>
    <w:rsid w:val="59F120D7"/>
    <w:rsid w:val="5A897643"/>
    <w:rsid w:val="5AD84501"/>
    <w:rsid w:val="5B3B6B74"/>
    <w:rsid w:val="5B3E5B74"/>
    <w:rsid w:val="5B822014"/>
    <w:rsid w:val="5EE054CC"/>
    <w:rsid w:val="629C5896"/>
    <w:rsid w:val="62AB0677"/>
    <w:rsid w:val="636E5628"/>
    <w:rsid w:val="638A4F49"/>
    <w:rsid w:val="63F91396"/>
    <w:rsid w:val="65E7115D"/>
    <w:rsid w:val="669C06FE"/>
    <w:rsid w:val="689E2775"/>
    <w:rsid w:val="68BC6E36"/>
    <w:rsid w:val="6AB4327C"/>
    <w:rsid w:val="6AF41D54"/>
    <w:rsid w:val="6B574BF4"/>
    <w:rsid w:val="6B6932A5"/>
    <w:rsid w:val="6BD46244"/>
    <w:rsid w:val="6DAC7479"/>
    <w:rsid w:val="6DC45FEC"/>
    <w:rsid w:val="6ED0363B"/>
    <w:rsid w:val="6FB76088"/>
    <w:rsid w:val="700417EE"/>
    <w:rsid w:val="70DA234C"/>
    <w:rsid w:val="71157D6E"/>
    <w:rsid w:val="71864485"/>
    <w:rsid w:val="72FA6ED8"/>
    <w:rsid w:val="73BC23E0"/>
    <w:rsid w:val="73BC349A"/>
    <w:rsid w:val="73DF08A5"/>
    <w:rsid w:val="742E5726"/>
    <w:rsid w:val="747D1B6F"/>
    <w:rsid w:val="77862AE9"/>
    <w:rsid w:val="781A0FA6"/>
    <w:rsid w:val="7883171E"/>
    <w:rsid w:val="78FA19E0"/>
    <w:rsid w:val="79E306C6"/>
    <w:rsid w:val="79E67F14"/>
    <w:rsid w:val="7A676550"/>
    <w:rsid w:val="7B09415C"/>
    <w:rsid w:val="7B823A24"/>
    <w:rsid w:val="7B95154C"/>
    <w:rsid w:val="7C29438A"/>
    <w:rsid w:val="7CD95DB0"/>
    <w:rsid w:val="7EBC1535"/>
    <w:rsid w:val="7EF944E8"/>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3</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2024-10-31T09:22:08Z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