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30" w:lineRule="exact"/>
        <w:jc w:val="center"/>
        <w:rPr>
          <w:rFonts w:ascii="方正小标宋_GBK" w:hAnsi="Calibri" w:eastAsia="方正小标宋_GBK" w:cs="Times New Roman"/>
          <w:color w:val="000000"/>
          <w:sz w:val="44"/>
          <w:szCs w:val="44"/>
        </w:rPr>
      </w:pPr>
      <w:r>
        <w:rPr>
          <w:rFonts w:hint="eastAsia" w:ascii="方正小标宋_GBK" w:hAnsi="Calibri" w:eastAsia="方正小标宋_GBK" w:cs="Times New Roman"/>
          <w:color w:val="000000"/>
          <w:sz w:val="44"/>
          <w:szCs w:val="44"/>
        </w:rPr>
        <w:t>项目情况及报价表</w:t>
      </w:r>
    </w:p>
    <w:p>
      <w:pPr>
        <w:rPr>
          <w:rFonts w:ascii="Times New Roman" w:hAnsi="Times New Roman" w:eastAsia="方正仿宋_GBK" w:cs="Times New Roman"/>
          <w:sz w:val="32"/>
          <w:szCs w:val="32"/>
        </w:rPr>
      </w:pPr>
    </w:p>
    <w:p>
      <w:pPr>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攀枝花钒钛玖号股权投资基金中心</w:t>
      </w:r>
      <w:r>
        <w:rPr>
          <w:rFonts w:hint="default" w:ascii="Times New Roman" w:hAnsi="Times New Roman" w:eastAsia="仿宋_GB2312" w:cs="Times New Roman"/>
          <w:sz w:val="32"/>
          <w:szCs w:val="32"/>
        </w:rPr>
        <w:t>总计</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笔债权合计</w:t>
      </w:r>
      <w:r>
        <w:rPr>
          <w:rFonts w:hint="eastAsia"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lang w:val="en-US" w:eastAsia="zh-CN"/>
        </w:rPr>
        <w:t>,000,000.00</w:t>
      </w:r>
      <w:r>
        <w:rPr>
          <w:rFonts w:hint="default" w:ascii="Times New Roman" w:hAnsi="Times New Roman" w:eastAsia="仿宋_GB2312" w:cs="Times New Roman"/>
          <w:sz w:val="32"/>
          <w:szCs w:val="32"/>
        </w:rPr>
        <w:t>元，主要是</w:t>
      </w:r>
      <w:r>
        <w:rPr>
          <w:rFonts w:hint="eastAsia" w:ascii="Times New Roman" w:hAnsi="Times New Roman" w:eastAsia="仿宋_GB2312" w:cs="Times New Roman"/>
          <w:sz w:val="32"/>
          <w:szCs w:val="32"/>
          <w:lang w:val="en-US" w:eastAsia="zh-CN"/>
        </w:rPr>
        <w:t>股权</w:t>
      </w:r>
      <w:r>
        <w:rPr>
          <w:rFonts w:hint="default" w:ascii="Times New Roman" w:hAnsi="Times New Roman" w:eastAsia="仿宋_GB2312" w:cs="Times New Roman"/>
          <w:sz w:val="32"/>
          <w:szCs w:val="32"/>
        </w:rPr>
        <w:t>纠纷。</w:t>
      </w:r>
    </w:p>
    <w:tbl>
      <w:tblPr>
        <w:tblStyle w:val="4"/>
        <w:tblW w:w="5000" w:type="pct"/>
        <w:tblInd w:w="0" w:type="dxa"/>
        <w:tblLayout w:type="autofit"/>
        <w:tblCellMar>
          <w:top w:w="0" w:type="dxa"/>
          <w:left w:w="108" w:type="dxa"/>
          <w:bottom w:w="0" w:type="dxa"/>
          <w:right w:w="108" w:type="dxa"/>
        </w:tblCellMar>
      </w:tblPr>
      <w:tblGrid>
        <w:gridCol w:w="933"/>
        <w:gridCol w:w="1826"/>
        <w:gridCol w:w="1897"/>
        <w:gridCol w:w="3866"/>
      </w:tblGrid>
      <w:tr>
        <w:tblPrEx>
          <w:tblCellMar>
            <w:top w:w="0" w:type="dxa"/>
            <w:left w:w="108" w:type="dxa"/>
            <w:bottom w:w="0" w:type="dxa"/>
            <w:right w:w="108" w:type="dxa"/>
          </w:tblCellMar>
        </w:tblPrEx>
        <w:trPr>
          <w:trHeight w:val="315"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eastAsia" w:ascii="Times New Roman" w:hAnsi="Times New Roman" w:eastAsia="方正仿宋_GBK" w:cs="Times New Roman"/>
                <w:b/>
                <w:bCs/>
                <w:sz w:val="32"/>
                <w:szCs w:val="32"/>
                <w:lang w:eastAsia="zh-CN"/>
              </w:rPr>
            </w:pPr>
            <w:r>
              <w:rPr>
                <w:rFonts w:hint="eastAsia" w:ascii="Times New Roman" w:hAnsi="Times New Roman" w:eastAsia="方正仿宋_GBK" w:cs="Times New Roman"/>
                <w:b/>
                <w:bCs/>
                <w:sz w:val="32"/>
                <w:szCs w:val="32"/>
                <w:lang w:eastAsia="zh-CN"/>
              </w:rPr>
              <w:t>攀枝花钒钛玖号股权投资基金中心</w:t>
            </w:r>
            <w:r>
              <w:rPr>
                <w:rFonts w:ascii="Times New Roman" w:hAnsi="Times New Roman" w:eastAsia="方正仿宋_GBK" w:cs="Times New Roman"/>
                <w:b/>
                <w:bCs/>
                <w:sz w:val="32"/>
                <w:szCs w:val="32"/>
              </w:rPr>
              <w:t>报价表</w:t>
            </w:r>
            <w:r>
              <w:rPr>
                <w:rFonts w:hint="eastAsia" w:ascii="Times New Roman" w:hAnsi="Times New Roman" w:eastAsia="方正仿宋_GBK" w:cs="Times New Roman"/>
                <w:b/>
                <w:bCs/>
                <w:sz w:val="32"/>
                <w:szCs w:val="32"/>
              </w:rPr>
              <w:t>(单位：元)</w:t>
            </w:r>
          </w:p>
        </w:tc>
      </w:tr>
      <w:tr>
        <w:tblPrEx>
          <w:tblCellMar>
            <w:top w:w="0" w:type="dxa"/>
            <w:left w:w="108" w:type="dxa"/>
            <w:bottom w:w="0" w:type="dxa"/>
            <w:right w:w="108" w:type="dxa"/>
          </w:tblCellMar>
        </w:tblPrEx>
        <w:trPr>
          <w:trHeight w:val="300" w:hRule="atLeast"/>
        </w:trPr>
        <w:tc>
          <w:tcPr>
            <w:tcW w:w="622" w:type="pct"/>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序号</w:t>
            </w:r>
          </w:p>
        </w:tc>
        <w:tc>
          <w:tcPr>
            <w:tcW w:w="1061" w:type="pct"/>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债权金额</w:t>
            </w:r>
          </w:p>
        </w:tc>
        <w:tc>
          <w:tcPr>
            <w:tcW w:w="8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前期服务费用</w:t>
            </w:r>
          </w:p>
        </w:tc>
        <w:tc>
          <w:tcPr>
            <w:tcW w:w="250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风险代理费</w:t>
            </w:r>
          </w:p>
        </w:tc>
      </w:tr>
      <w:tr>
        <w:tblPrEx>
          <w:tblCellMar>
            <w:top w:w="0" w:type="dxa"/>
            <w:left w:w="108" w:type="dxa"/>
            <w:bottom w:w="0" w:type="dxa"/>
            <w:right w:w="108" w:type="dxa"/>
          </w:tblCellMar>
        </w:tblPrEx>
        <w:trPr>
          <w:trHeight w:val="330" w:hRule="atLeast"/>
        </w:trPr>
        <w:tc>
          <w:tcPr>
            <w:tcW w:w="622" w:type="pct"/>
            <w:tcBorders>
              <w:top w:val="single" w:color="auto" w:sz="4" w:space="0"/>
              <w:left w:val="single" w:color="000000" w:sz="8" w:space="0"/>
              <w:bottom w:val="single" w:color="000000" w:sz="8" w:space="0"/>
              <w:right w:val="single" w:color="000000" w:sz="8" w:space="0"/>
            </w:tcBorders>
            <w:shd w:val="clear" w:color="auto" w:fill="auto"/>
            <w:noWrap/>
            <w:vAlign w:val="bottom"/>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p>
        </w:tc>
        <w:tc>
          <w:tcPr>
            <w:tcW w:w="1061" w:type="pct"/>
            <w:tcBorders>
              <w:top w:val="single" w:color="auto" w:sz="4" w:space="0"/>
              <w:left w:val="nil"/>
              <w:bottom w:val="single" w:color="000000" w:sz="8" w:space="0"/>
              <w:right w:val="nil"/>
            </w:tcBorders>
            <w:shd w:val="clear" w:color="auto" w:fill="auto"/>
            <w:noWrap/>
            <w:vAlign w:val="bottom"/>
          </w:tcPr>
          <w:p>
            <w:pPr>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26,000</w:t>
            </w:r>
            <w:r>
              <w:rPr>
                <w:rFonts w:ascii="Times New Roman" w:hAnsi="Times New Roman" w:eastAsia="方正仿宋_GBK" w:cs="Times New Roman"/>
                <w:sz w:val="28"/>
                <w:szCs w:val="28"/>
              </w:rPr>
              <w:t>,000.00</w:t>
            </w:r>
          </w:p>
        </w:tc>
        <w:tc>
          <w:tcPr>
            <w:tcW w:w="814"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方正仿宋_GBK" w:cs="Times New Roman"/>
                <w:sz w:val="28"/>
                <w:szCs w:val="28"/>
              </w:rPr>
            </w:pPr>
          </w:p>
        </w:tc>
        <w:tc>
          <w:tcPr>
            <w:tcW w:w="250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方正仿宋_GBK" w:cs="Times New Roman"/>
                <w:sz w:val="28"/>
                <w:szCs w:val="28"/>
              </w:rPr>
            </w:pPr>
          </w:p>
        </w:tc>
      </w:tr>
    </w:tbl>
    <w:p>
      <w:pPr>
        <w:ind w:firstLine="640" w:firstLineChars="200"/>
        <w:rPr>
          <w:rFonts w:ascii="仿宋_GB2312" w:hAnsi="仿宋_GB2312" w:eastAsia="仿宋_GB2312" w:cs="仿宋_GB2312"/>
          <w:color w:val="FF0000"/>
          <w:sz w:val="32"/>
          <w:szCs w:val="32"/>
        </w:rPr>
      </w:pPr>
      <w:r>
        <w:rPr>
          <w:rFonts w:ascii="仿宋_GB2312" w:hAnsi="仿宋_GB2312" w:eastAsia="仿宋_GB2312" w:cs="仿宋_GB2312"/>
          <w:color w:val="FF0000"/>
          <w:sz w:val="32"/>
          <w:szCs w:val="32"/>
        </w:rPr>
        <w:t>备注</w:t>
      </w:r>
      <w:r>
        <w:rPr>
          <w:rFonts w:hint="eastAsia" w:ascii="仿宋_GB2312" w:hAnsi="仿宋_GB2312" w:eastAsia="仿宋_GB2312" w:cs="仿宋_GB2312"/>
          <w:color w:val="FF0000"/>
          <w:sz w:val="32"/>
          <w:szCs w:val="32"/>
        </w:rPr>
        <w:t>：报价合计数不超过</w:t>
      </w:r>
      <w:r>
        <w:rPr>
          <w:rFonts w:hint="eastAsia" w:ascii="仿宋_GB2312" w:hAnsi="仿宋_GB2312" w:eastAsia="仿宋_GB2312" w:cs="仿宋_GB2312"/>
          <w:color w:val="FF0000"/>
          <w:sz w:val="32"/>
          <w:szCs w:val="32"/>
          <w:lang w:val="en-US" w:eastAsia="zh-CN"/>
        </w:rPr>
        <w:t>二</w:t>
      </w:r>
      <w:bookmarkStart w:id="0" w:name="_GoBack"/>
      <w:bookmarkEnd w:id="0"/>
      <w:r>
        <w:rPr>
          <w:rFonts w:hint="eastAsia" w:ascii="仿宋_GB2312" w:hAnsi="仿宋_GB2312" w:eastAsia="仿宋_GB2312" w:cs="仿宋_GB2312"/>
          <w:color w:val="FF0000"/>
          <w:sz w:val="32"/>
          <w:szCs w:val="32"/>
          <w:lang w:val="en-US" w:eastAsia="zh-CN"/>
        </w:rPr>
        <w:t>十万元（不含）</w:t>
      </w:r>
      <w:r>
        <w:rPr>
          <w:rFonts w:hint="eastAsia" w:ascii="仿宋_GB2312" w:hAnsi="仿宋_GB2312" w:eastAsia="仿宋_GB2312" w:cs="仿宋_GB2312"/>
          <w:color w:val="FF0000"/>
          <w:sz w:val="32"/>
          <w:szCs w:val="32"/>
        </w:rPr>
        <w:t>，攀枝花钒钛玖号股权投资基金中心根据每笔债权与中标者签订诉讼委托代理合同。</w:t>
      </w:r>
    </w:p>
    <w:p>
      <w:pPr>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1NDhmMGEwMGUzMWM1YTBhZmVjNGEwZTg1YTJjMjQifQ=="/>
    <w:docVar w:name="KSO_WPS_MARK_KEY" w:val="d9f0de72-2431-463d-8b0e-1b2e67c12820"/>
  </w:docVars>
  <w:rsids>
    <w:rsidRoot w:val="00325166"/>
    <w:rsid w:val="00156BA9"/>
    <w:rsid w:val="00325166"/>
    <w:rsid w:val="00543053"/>
    <w:rsid w:val="005D3254"/>
    <w:rsid w:val="005D4E43"/>
    <w:rsid w:val="006127CD"/>
    <w:rsid w:val="008F723F"/>
    <w:rsid w:val="00CD7D05"/>
    <w:rsid w:val="00E636E8"/>
    <w:rsid w:val="01F86AD0"/>
    <w:rsid w:val="026F4C75"/>
    <w:rsid w:val="02CF7C77"/>
    <w:rsid w:val="0CE14FD4"/>
    <w:rsid w:val="24C97747"/>
    <w:rsid w:val="29B669AE"/>
    <w:rsid w:val="2D224A80"/>
    <w:rsid w:val="2EA6671C"/>
    <w:rsid w:val="301157E2"/>
    <w:rsid w:val="32522483"/>
    <w:rsid w:val="3D465B14"/>
    <w:rsid w:val="3FA63AE6"/>
    <w:rsid w:val="46B85034"/>
    <w:rsid w:val="4A4146DB"/>
    <w:rsid w:val="4A503812"/>
    <w:rsid w:val="4C1B59DC"/>
    <w:rsid w:val="53334918"/>
    <w:rsid w:val="554878AE"/>
    <w:rsid w:val="562F07C1"/>
    <w:rsid w:val="66C13675"/>
    <w:rsid w:val="703C1FBF"/>
    <w:rsid w:val="7A465F7C"/>
    <w:rsid w:val="7B080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31"/>
    <w:basedOn w:val="5"/>
    <w:qFormat/>
    <w:uiPriority w:val="0"/>
    <w:rPr>
      <w:rFonts w:hint="eastAsia" w:ascii="仿宋" w:hAnsi="仿宋" w:eastAsia="仿宋" w:cs="仿宋"/>
      <w:color w:val="000000"/>
      <w:sz w:val="24"/>
      <w:szCs w:val="24"/>
      <w:u w:val="none"/>
    </w:rPr>
  </w:style>
  <w:style w:type="character" w:customStyle="1" w:styleId="7">
    <w:name w:val="font21"/>
    <w:basedOn w:val="5"/>
    <w:qFormat/>
    <w:uiPriority w:val="0"/>
    <w:rPr>
      <w:rFonts w:hint="eastAsia" w:ascii="仿宋" w:hAnsi="仿宋" w:eastAsia="仿宋" w:cs="仿宋"/>
      <w:color w:val="000000"/>
      <w:sz w:val="22"/>
      <w:szCs w:val="22"/>
      <w:u w:val="none"/>
    </w:rPr>
  </w:style>
  <w:style w:type="character" w:customStyle="1" w:styleId="8">
    <w:name w:val="font01"/>
    <w:basedOn w:val="5"/>
    <w:qFormat/>
    <w:uiPriority w:val="0"/>
    <w:rPr>
      <w:rFonts w:ascii="方正仿宋_GBK" w:hAnsi="方正仿宋_GBK" w:eastAsia="方正仿宋_GBK" w:cs="方正仿宋_GBK"/>
      <w:color w:val="000000"/>
      <w:sz w:val="28"/>
      <w:szCs w:val="28"/>
      <w:u w:val="none"/>
    </w:rPr>
  </w:style>
  <w:style w:type="character" w:customStyle="1" w:styleId="9">
    <w:name w:val="页眉 Char"/>
    <w:basedOn w:val="5"/>
    <w:link w:val="3"/>
    <w:qFormat/>
    <w:uiPriority w:val="0"/>
    <w:rPr>
      <w:rFonts w:asciiTheme="minorHAnsi" w:hAnsiTheme="minorHAnsi" w:eastAsiaTheme="minorEastAsia" w:cstheme="minorBidi"/>
      <w:kern w:val="2"/>
      <w:sz w:val="18"/>
      <w:szCs w:val="18"/>
    </w:rPr>
  </w:style>
  <w:style w:type="character" w:customStyle="1" w:styleId="10">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141</Words>
  <Characters>165</Characters>
  <Lines>4</Lines>
  <Paragraphs>1</Paragraphs>
  <TotalTime>2</TotalTime>
  <ScaleCrop>false</ScaleCrop>
  <LinksUpToDate>false</LinksUpToDate>
  <CharactersWithSpaces>165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2021-07-05T03:43:00Z</dcterms:created>
  <dc:creator>Administrator</dc:creator>
  <cp:lastModifiedBy>张凯</cp:lastModifiedBy>
  <dcterms:modified xsi:type="dcterms:W3CDTF">2024-04-30T09:57:24Z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238F63E0E2C24B1E82B9B30C63041A99</vt:lpwstr>
  </property>
  <property fmtid="{D5CDD505-2E9C-101B-9397-08002B2CF9AE}" pid="4" name="_DocHome">
    <vt:i4>763618657</vt:i4>
  </property>
  <property fmtid="{D5CDD505-2E9C-101B-9397-08002B2CF9AE}" pid="5" name="KSOSaveFontToCloudKey">
    <vt:lpwstr>903946962_btnclosed</vt:lpwstr>
  </property>
</Properties>
</file>