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44</w:t>
      </w:r>
    </w:p>
    <w:p>
      <w:pPr>
        <w:spacing w:line="360" w:lineRule="auto"/>
        <w:jc w:val="center"/>
        <w:rPr>
          <w:rFonts w:hint="eastAsia" w:ascii="Times New Roman" w:hAnsi="Times New Roman"/>
          <w:bCs/>
          <w:sz w:val="52"/>
          <w:szCs w:val="52"/>
          <w:u w:val="single"/>
        </w:rPr>
      </w:pPr>
      <w:r>
        <w:rPr>
          <w:rFonts w:hint="eastAsia" w:ascii="Times New Roman" w:hAnsi="Times New Roman"/>
          <w:bCs/>
          <w:sz w:val="52"/>
          <w:szCs w:val="52"/>
          <w:u w:val="single"/>
        </w:rPr>
        <w:t>国投大厦13层、16层半层装修改造工程</w:t>
      </w:r>
    </w:p>
    <w:p>
      <w:pPr>
        <w:spacing w:line="360" w:lineRule="auto"/>
        <w:jc w:val="center"/>
        <w:rPr>
          <w:rFonts w:hint="eastAsia" w:ascii="Times New Roman" w:hAnsi="Times New Roman" w:eastAsia="宋体"/>
          <w:b/>
          <w:sz w:val="52"/>
          <w:szCs w:val="52"/>
          <w:lang w:val="en-US" w:eastAsia="zh-CN"/>
        </w:rPr>
      </w:pPr>
      <w:r>
        <w:rPr>
          <w:rFonts w:hint="eastAsia" w:ascii="Times New Roman" w:hAnsi="Times New Roman"/>
          <w:bCs/>
          <w:sz w:val="52"/>
          <w:szCs w:val="52"/>
          <w:u w:val="single"/>
        </w:rPr>
        <w:t>木工材料采购</w:t>
      </w:r>
      <w:r>
        <w:rPr>
          <w:rFonts w:hint="eastAsia" w:ascii="Times New Roman" w:hAnsi="Times New Roman"/>
          <w:bCs/>
          <w:sz w:val="52"/>
          <w:szCs w:val="52"/>
          <w:u w:val="single"/>
          <w:lang w:val="en-US" w:eastAsia="zh-CN"/>
        </w:rPr>
        <w:t>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国投大厦13层、16层半层装修改造工程木工材料采购</w:t>
      </w:r>
      <w:r>
        <w:rPr>
          <w:rFonts w:hint="eastAsia" w:ascii="Times New Roman" w:hAnsi="Times New Roman"/>
          <w:b/>
          <w:bCs w:val="0"/>
          <w:sz w:val="24"/>
          <w:u w:val="single"/>
          <w:lang w:val="en-US" w:eastAsia="zh-CN"/>
        </w:rPr>
        <w:t>项目</w:t>
      </w:r>
      <w:r>
        <w:rPr>
          <w:rFonts w:ascii="Times New Roman" w:hAnsi="Times New Roman"/>
          <w:sz w:val="24"/>
          <w:szCs w:val="32"/>
        </w:rPr>
        <w:t>采用询价方式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44</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国投大厦13层、16层半层装修改造工程木工材料采购</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sz w:val="24"/>
          <w:u w:val="single"/>
        </w:rPr>
      </w:pPr>
      <w:r>
        <w:rPr>
          <w:rFonts w:hint="eastAsia" w:ascii="Times New Roman" w:hAnsi="Times New Roman"/>
          <w:sz w:val="24"/>
          <w:u w:val="single"/>
          <w:lang w:val="en-US" w:eastAsia="zh-CN"/>
        </w:rPr>
        <w:t>最高限价：</w:t>
      </w:r>
      <w:r>
        <w:rPr>
          <w:rFonts w:hint="eastAsia" w:ascii="Times New Roman" w:hAnsi="Times New Roman"/>
          <w:sz w:val="24"/>
          <w:u w:val="single"/>
        </w:rPr>
        <w:t>本次询价最高限价为</w:t>
      </w:r>
      <w:r>
        <w:rPr>
          <w:rFonts w:hint="eastAsia" w:ascii="Times New Roman" w:hAnsi="Times New Roman"/>
          <w:sz w:val="24"/>
          <w:u w:val="single"/>
          <w:lang w:val="en-US" w:eastAsia="zh-CN"/>
        </w:rPr>
        <w:t>4</w:t>
      </w:r>
      <w:r>
        <w:rPr>
          <w:rFonts w:hint="eastAsia" w:ascii="Times New Roman" w:hAnsi="Times New Roman"/>
          <w:sz w:val="24"/>
          <w:u w:val="single"/>
        </w:rPr>
        <w:t>万元，以每种</w:t>
      </w:r>
      <w:r>
        <w:rPr>
          <w:rFonts w:hint="eastAsia" w:ascii="Times New Roman" w:hAnsi="Times New Roman"/>
          <w:sz w:val="24"/>
          <w:u w:val="single"/>
          <w:lang w:val="en-US" w:eastAsia="zh-CN"/>
        </w:rPr>
        <w:t>木工材料</w:t>
      </w:r>
      <w:r>
        <w:rPr>
          <w:rFonts w:hint="eastAsia" w:ascii="Times New Roman" w:hAnsi="Times New Roman"/>
          <w:sz w:val="24"/>
          <w:u w:val="single"/>
        </w:rPr>
        <w:t>单价进行询价。</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sz w:val="24"/>
        </w:rPr>
        <w:t>项目位于攀枝花市东区三线大道北段118号2栋国投大厦</w:t>
      </w:r>
      <w:r>
        <w:rPr>
          <w:rFonts w:hint="eastAsia" w:ascii="Times New Roman" w:hAnsi="Times New Roman"/>
          <w:bCs/>
          <w:sz w:val="24"/>
        </w:rPr>
        <w:t>13层、16层半层</w:t>
      </w:r>
      <w:r>
        <w:rPr>
          <w:rFonts w:hint="eastAsia" w:ascii="Times New Roman" w:hAnsi="Times New Roman"/>
          <w:sz w:val="24"/>
        </w:rPr>
        <w:t>，拟装修改造房屋建筑总面积约</w:t>
      </w:r>
      <w:r>
        <w:rPr>
          <w:rFonts w:hint="eastAsia" w:ascii="Times New Roman" w:hAnsi="Times New Roman"/>
          <w:sz w:val="24"/>
          <w:lang w:val="en-US" w:eastAsia="zh-CN"/>
        </w:rPr>
        <w:t>26</w:t>
      </w:r>
      <w:r>
        <w:rPr>
          <w:rFonts w:hint="eastAsia" w:ascii="Times New Roman" w:hAnsi="Times New Roman"/>
          <w:sz w:val="24"/>
        </w:rPr>
        <w:t>00㎡，主要依据现有空置区域进行装修改造</w:t>
      </w:r>
      <w:r>
        <w:rPr>
          <w:rFonts w:hint="eastAsia" w:ascii="Times New Roman" w:hAnsi="Times New Roman"/>
          <w:spacing w:val="-4"/>
          <w:sz w:val="24"/>
        </w:rPr>
        <w:t>，现需采购一批</w:t>
      </w:r>
      <w:r>
        <w:rPr>
          <w:rFonts w:hint="eastAsia" w:ascii="Times New Roman" w:hAnsi="Times New Roman"/>
          <w:spacing w:val="-4"/>
          <w:sz w:val="24"/>
          <w:lang w:val="en-US" w:eastAsia="zh-CN"/>
        </w:rPr>
        <w:t>木工材料</w:t>
      </w:r>
      <w:r>
        <w:rPr>
          <w:rFonts w:hint="eastAsia" w:ascii="Times New Roman" w:hAnsi="Times New Roman"/>
          <w:spacing w:val="-4"/>
          <w:sz w:val="24"/>
        </w:rPr>
        <w:t>。</w:t>
      </w:r>
      <w:r>
        <w:rPr>
          <w:rFonts w:hint="eastAsia" w:ascii="Times New Roman" w:hAnsi="Times New Roman"/>
          <w:sz w:val="24"/>
        </w:rPr>
        <w:t>（供货时限：合同签订后3个日历天内）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4</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21</w:t>
      </w:r>
      <w:r>
        <w:rPr>
          <w:rFonts w:ascii="Times New Roman" w:hAnsi="Times New Roman"/>
          <w:b/>
          <w:bCs/>
          <w:color w:val="FF0000"/>
          <w:sz w:val="24"/>
          <w:u w:val="single"/>
        </w:rPr>
        <w:t>日</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:00至202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4</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22</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16</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3</w:t>
      </w:r>
      <w:r>
        <w:rPr>
          <w:rFonts w:ascii="Times New Roman" w:hAnsi="Times New Roman"/>
          <w:b/>
          <w:bCs/>
          <w:color w:val="FF0000"/>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4</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22</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16</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3</w:t>
      </w:r>
      <w:r>
        <w:rPr>
          <w:rFonts w:ascii="Times New Roman" w:hAnsi="Times New Roman"/>
          <w:b/>
          <w:bCs/>
          <w:color w:val="FF0000"/>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bookmarkStart w:id="62" w:name="_GoBack"/>
      <w:bookmarkEnd w:id="62"/>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4</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木工材料</w:t>
            </w:r>
            <w:r>
              <w:rPr>
                <w:rFonts w:hint="eastAsia" w:ascii="Times New Roman" w:hAnsi="Times New Roman"/>
                <w:b/>
                <w:bCs/>
                <w:color w:val="FF0000"/>
                <w:sz w:val="24"/>
                <w:u w:val="single"/>
              </w:rPr>
              <w:t>单价进行询价。</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217446057"/>
      <w:bookmarkStart w:id="46" w:name="_Toc183582232"/>
      <w:bookmarkStart w:id="47" w:name="_Toc183682369"/>
      <w:r>
        <w:rPr>
          <w:rFonts w:hint="eastAsia" w:ascii="宋体" w:hAnsi="宋体"/>
          <w:sz w:val="24"/>
        </w:rPr>
        <w:t>1、需求清单</w:t>
      </w:r>
    </w:p>
    <w:tbl>
      <w:tblPr>
        <w:tblW w:w="10380" w:type="dxa"/>
        <w:tblInd w:w="-2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16"/>
        <w:gridCol w:w="2251"/>
        <w:gridCol w:w="1586"/>
        <w:gridCol w:w="1043"/>
        <w:gridCol w:w="1022"/>
        <w:gridCol w:w="1069"/>
        <w:gridCol w:w="1069"/>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1038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bdr w:val="none" w:color="auto" w:sz="0" w:space="0"/>
                <w:lang w:val="en-US" w:eastAsia="zh-CN" w:bidi="ar"/>
              </w:rPr>
              <w:t>国投大厦13层、16层半层装修改造工程木工材料采购项目--报价清单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品名</w:t>
            </w:r>
          </w:p>
        </w:tc>
        <w:tc>
          <w:tcPr>
            <w:tcW w:w="15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规格型号</w:t>
            </w:r>
          </w:p>
        </w:tc>
        <w:tc>
          <w:tcPr>
            <w:tcW w:w="10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不含税单价（元）</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小计（元）</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0.95纸面石膏板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0.95防潮石膏板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3</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1.2阻燃板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4</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8#丝杆</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5</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8#膨胀螺丝</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6</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8#螺帽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公斤</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7</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8#炮钉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8</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F3.0直钉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9</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F5.0直钉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10</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38钢钉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11</w:t>
            </w:r>
          </w:p>
        </w:tc>
        <w:tc>
          <w:tcPr>
            <w:tcW w:w="22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50钢钉</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10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12</w:t>
            </w:r>
          </w:p>
        </w:tc>
        <w:tc>
          <w:tcPr>
            <w:tcW w:w="22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2.5螺丝</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10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13</w:t>
            </w:r>
          </w:p>
        </w:tc>
        <w:tc>
          <w:tcPr>
            <w:tcW w:w="225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3.5自攻螺丝</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02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14</w:t>
            </w:r>
          </w:p>
        </w:tc>
        <w:tc>
          <w:tcPr>
            <w:tcW w:w="225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5.0自攻螺丝</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2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15</w:t>
            </w:r>
          </w:p>
        </w:tc>
        <w:tc>
          <w:tcPr>
            <w:tcW w:w="225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15KG白乳胶</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2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16</w:t>
            </w:r>
          </w:p>
        </w:tc>
        <w:tc>
          <w:tcPr>
            <w:tcW w:w="225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38*1.0国标卡主龙骨</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17</w:t>
            </w:r>
          </w:p>
        </w:tc>
        <w:tc>
          <w:tcPr>
            <w:tcW w:w="225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50*0.38卡副龙骨</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02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18</w:t>
            </w:r>
          </w:p>
        </w:tc>
        <w:tc>
          <w:tcPr>
            <w:tcW w:w="225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木方3*4</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02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捆</w:t>
            </w: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19</w:t>
            </w:r>
          </w:p>
        </w:tc>
        <w:tc>
          <w:tcPr>
            <w:tcW w:w="225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泡沫胶</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02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20</w:t>
            </w:r>
          </w:p>
        </w:tc>
        <w:tc>
          <w:tcPr>
            <w:tcW w:w="225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结构胶</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02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21</w:t>
            </w:r>
          </w:p>
        </w:tc>
        <w:tc>
          <w:tcPr>
            <w:tcW w:w="225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2公分自粘隔音棉</w:t>
            </w:r>
          </w:p>
        </w:tc>
        <w:tc>
          <w:tcPr>
            <w:tcW w:w="1586"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02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31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合计：</w:t>
            </w:r>
          </w:p>
        </w:tc>
        <w:tc>
          <w:tcPr>
            <w:tcW w:w="9064"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合计：不含税总价      元；税率   %，含税总价      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报价单位：</w:t>
            </w:r>
          </w:p>
        </w:tc>
        <w:tc>
          <w:tcPr>
            <w:tcW w:w="9064" w:type="dxa"/>
            <w:gridSpan w:val="7"/>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rPr>
        <w:t>3</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b/>
          <w:bCs/>
          <w:sz w:val="24"/>
        </w:rPr>
      </w:pPr>
      <w:r>
        <w:rPr>
          <w:b/>
          <w:bCs/>
          <w:sz w:val="24"/>
        </w:rPr>
        <w:t>交货地点：四川省攀枝花市东区三线大道北段118号2栋。</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6446261"/>
      <w:bookmarkStart w:id="52" w:name="_Toc96761122"/>
      <w:bookmarkStart w:id="53" w:name="_Toc13564302"/>
      <w:bookmarkStart w:id="54" w:name="_Toc11832144"/>
      <w:bookmarkStart w:id="55" w:name="_Toc11764033"/>
      <w:bookmarkStart w:id="56" w:name="_Toc94345768"/>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p>
    <w:tbl>
      <w:tblPr>
        <w:tblStyle w:val="18"/>
        <w:tblW w:w="10380" w:type="dxa"/>
        <w:tblInd w:w="-2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2251"/>
        <w:gridCol w:w="1586"/>
        <w:gridCol w:w="1043"/>
        <w:gridCol w:w="1022"/>
        <w:gridCol w:w="1069"/>
        <w:gridCol w:w="1069"/>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国投大厦13层、16层半层装修改造工程木工材料采购项目--报价清单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不含税单价（元）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小计（元）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0.95纸面石膏板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0.95防潮石膏板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8#丝杆</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8#膨胀螺丝</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8#螺帽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8#炮钉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F3.0直钉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F5.0直钉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22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50钢钉</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10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22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10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3.5自攻螺丝</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5.0自攻螺丝</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38*1.0国标卡主龙骨</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50*0.38卡副龙骨</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木方3*4</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泡沫胶</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2公分自粘隔音棉</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90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合计：不含税总价      元；税率   %，含税总价      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90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ascii="Times New Roman" w:hAnsi="Times New Roman"/>
          <w:b/>
          <w:sz w:val="32"/>
          <w:szCs w:val="32"/>
        </w:rPr>
        <w:sectPr>
          <w:headerReference r:id="rId5" w:type="default"/>
          <w:footerReference r:id="rId6" w:type="default"/>
          <w:footerReference r:id="rId7" w:type="even"/>
          <w:pgSz w:w="1322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highlight w:val="yellow"/>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基准价，其价格分为满分。其他供应商的价格分统一按照下列公式计算：报价得分=(</w:t>
            </w:r>
            <w:r>
              <w:rPr>
                <w:rFonts w:hint="eastAsia"/>
                <w:lang w:eastAsia="zh-CN"/>
              </w:rPr>
              <w:t>询价</w:t>
            </w:r>
            <w:r>
              <w:rPr>
                <w:rFonts w:hint="eastAsia"/>
              </w:rPr>
              <w:t>基准价／最后报价)×50。</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提供近三年其它项目木工材料供货合同复印件，每提供一个得2分，本项总分10分。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rPr>
        <w:t>国投大厦</w:t>
      </w:r>
      <w:r>
        <w:rPr>
          <w:rFonts w:hint="eastAsia" w:ascii="黑体" w:hAnsi="黑体" w:eastAsia="黑体"/>
          <w:sz w:val="44"/>
          <w:szCs w:val="44"/>
          <w:lang w:eastAsia="zh-CN"/>
        </w:rPr>
        <w:t>13层、16层半层</w:t>
      </w:r>
      <w:r>
        <w:rPr>
          <w:rFonts w:hint="eastAsia" w:ascii="黑体" w:hAnsi="黑体" w:eastAsia="黑体"/>
          <w:sz w:val="44"/>
          <w:szCs w:val="44"/>
        </w:rPr>
        <w:t>装修改造工程</w:t>
      </w:r>
      <w:r>
        <w:rPr>
          <w:rFonts w:hint="eastAsia" w:ascii="黑体" w:hAnsi="黑体" w:eastAsia="黑体"/>
          <w:sz w:val="44"/>
          <w:szCs w:val="44"/>
          <w:lang w:val="en-US" w:eastAsia="zh-CN"/>
        </w:rPr>
        <w:t>木工材料</w:t>
      </w:r>
      <w:r>
        <w:rPr>
          <w:rFonts w:hint="eastAsia" w:ascii="黑体" w:hAnsi="黑体" w:eastAsia="黑体"/>
          <w:sz w:val="44"/>
          <w:szCs w:val="44"/>
        </w:rPr>
        <w:br w:type="textWrapping"/>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木工材料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国投大厦</w:t>
      </w:r>
      <w:r>
        <w:rPr>
          <w:rFonts w:hint="eastAsia" w:ascii="宋体" w:hAnsi="宋体"/>
          <w:sz w:val="24"/>
          <w:u w:val="single"/>
          <w:lang w:eastAsia="zh-CN"/>
        </w:rPr>
        <w:t>13层、16层半层</w:t>
      </w:r>
      <w:r>
        <w:rPr>
          <w:rFonts w:hint="eastAsia" w:ascii="宋体" w:hAnsi="宋体"/>
          <w:sz w:val="24"/>
          <w:u w:val="single"/>
        </w:rPr>
        <w:t>装修改造</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四川省攀枝花市东区三线大道北段118号2栋</w:t>
      </w:r>
      <w:r>
        <w:rPr>
          <w:rFonts w:hint="eastAsia"/>
          <w:sz w:val="24"/>
          <w:u w:val="single" w:color="000000"/>
          <w:lang w:val="en-US" w:eastAsia="zh-CN"/>
        </w:rPr>
        <w:t>13层、16层半层</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Style w:val="18"/>
        <w:tblW w:w="10380" w:type="dxa"/>
        <w:tblInd w:w="-9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2251"/>
        <w:gridCol w:w="1586"/>
        <w:gridCol w:w="1043"/>
        <w:gridCol w:w="1022"/>
        <w:gridCol w:w="1069"/>
        <w:gridCol w:w="1069"/>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3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国投大厦13层、16层半层装修改造工程木工材料采购项目--报价清单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不含税单价（元）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小计（元）</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0.95纸面石膏板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0.95防潮石膏板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8#丝杆</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8#膨胀螺丝</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8#螺帽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8#炮钉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F3.0直钉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F5.0直钉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22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50钢钉</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10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22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10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3.5自攻螺丝</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5.0自攻螺丝</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38*1.0国标卡主龙骨</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50*0.38卡副龙骨</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木方3*4</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泡沫胶</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2公分自粘隔音棉</w:t>
            </w: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90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合计：不含税总价      元；税率   %，含税总价      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90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75935F4"/>
    <w:rsid w:val="07E332FF"/>
    <w:rsid w:val="07FC173B"/>
    <w:rsid w:val="08314CF2"/>
    <w:rsid w:val="09C845C0"/>
    <w:rsid w:val="09DD1360"/>
    <w:rsid w:val="0C3F0755"/>
    <w:rsid w:val="0E09534C"/>
    <w:rsid w:val="0E466A71"/>
    <w:rsid w:val="10B1300C"/>
    <w:rsid w:val="11556A4D"/>
    <w:rsid w:val="13482467"/>
    <w:rsid w:val="16813312"/>
    <w:rsid w:val="17681DB3"/>
    <w:rsid w:val="18661881"/>
    <w:rsid w:val="18A14941"/>
    <w:rsid w:val="18B97D11"/>
    <w:rsid w:val="1BA109F0"/>
    <w:rsid w:val="1C0138BF"/>
    <w:rsid w:val="1D6F437D"/>
    <w:rsid w:val="1D920A05"/>
    <w:rsid w:val="1F72088A"/>
    <w:rsid w:val="1FD55B0C"/>
    <w:rsid w:val="1FDD64D9"/>
    <w:rsid w:val="21F01AD7"/>
    <w:rsid w:val="225D1E12"/>
    <w:rsid w:val="22811BC0"/>
    <w:rsid w:val="24101808"/>
    <w:rsid w:val="250F2FA2"/>
    <w:rsid w:val="26E26AAC"/>
    <w:rsid w:val="2B147E30"/>
    <w:rsid w:val="2B8613F2"/>
    <w:rsid w:val="2C6F1319"/>
    <w:rsid w:val="2F032177"/>
    <w:rsid w:val="308C05DF"/>
    <w:rsid w:val="31606055"/>
    <w:rsid w:val="31CF5279"/>
    <w:rsid w:val="334B2928"/>
    <w:rsid w:val="371807ED"/>
    <w:rsid w:val="38820ABF"/>
    <w:rsid w:val="390F0422"/>
    <w:rsid w:val="39CF4C1E"/>
    <w:rsid w:val="3AB24230"/>
    <w:rsid w:val="3DB17760"/>
    <w:rsid w:val="3FCE0E18"/>
    <w:rsid w:val="3FDA0DE9"/>
    <w:rsid w:val="43290B76"/>
    <w:rsid w:val="43947AC8"/>
    <w:rsid w:val="44666B79"/>
    <w:rsid w:val="45D56FCB"/>
    <w:rsid w:val="460F771A"/>
    <w:rsid w:val="49B900A4"/>
    <w:rsid w:val="4B553B41"/>
    <w:rsid w:val="4BCD7E5B"/>
    <w:rsid w:val="4C7F728B"/>
    <w:rsid w:val="4E8A6653"/>
    <w:rsid w:val="50FB3D29"/>
    <w:rsid w:val="526C3AC7"/>
    <w:rsid w:val="53A33E25"/>
    <w:rsid w:val="579D445B"/>
    <w:rsid w:val="58347A0F"/>
    <w:rsid w:val="59F120D7"/>
    <w:rsid w:val="5A897643"/>
    <w:rsid w:val="5AD84501"/>
    <w:rsid w:val="5B3B6B74"/>
    <w:rsid w:val="5B3E5B74"/>
    <w:rsid w:val="5B822014"/>
    <w:rsid w:val="5EE054CC"/>
    <w:rsid w:val="629C5896"/>
    <w:rsid w:val="62AB0677"/>
    <w:rsid w:val="638A4F49"/>
    <w:rsid w:val="65E7115D"/>
    <w:rsid w:val="6AF41D54"/>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17602</Words>
  <Characters>18449</Characters>
  <Lines>154</Lines>
  <Paragraphs>43</Paragraphs>
  <TotalTime>1007</TotalTime>
  <ScaleCrop>false</ScaleCrop>
  <LinksUpToDate>false</LinksUpToDate>
  <CharactersWithSpaces>21372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2024-04-21T01:48:18Z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