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36</w:t>
      </w:r>
    </w:p>
    <w:p>
      <w:pPr>
        <w:spacing w:line="360" w:lineRule="auto"/>
        <w:jc w:val="center"/>
        <w:rPr>
          <w:rFonts w:hint="default"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w:t>
      </w:r>
      <w:r>
        <w:rPr>
          <w:rFonts w:hint="eastAsia" w:ascii="Times New Roman" w:hAnsi="Times New Roman"/>
          <w:bCs/>
          <w:sz w:val="52"/>
          <w:szCs w:val="52"/>
          <w:u w:val="single"/>
          <w:lang w:val="en-US" w:eastAsia="zh-CN"/>
        </w:rPr>
        <w:t>0</w:t>
      </w:r>
      <w:r>
        <w:rPr>
          <w:rFonts w:hint="eastAsia" w:ascii="Times New Roman" w:hAnsi="Times New Roman"/>
          <w:bCs/>
          <w:sz w:val="52"/>
          <w:szCs w:val="52"/>
          <w:u w:val="single"/>
        </w:rPr>
        <w:t>-1</w:t>
      </w:r>
      <w:r>
        <w:rPr>
          <w:rFonts w:hint="eastAsia" w:ascii="Times New Roman" w:hAnsi="Times New Roman"/>
          <w:bCs/>
          <w:sz w:val="52"/>
          <w:szCs w:val="52"/>
          <w:u w:val="single"/>
          <w:lang w:val="en-US" w:eastAsia="zh-CN"/>
        </w:rPr>
        <w:t>1</w:t>
      </w:r>
      <w:r>
        <w:rPr>
          <w:rFonts w:hint="eastAsia" w:ascii="Times New Roman" w:hAnsi="Times New Roman"/>
          <w:bCs/>
          <w:sz w:val="52"/>
          <w:szCs w:val="52"/>
          <w:u w:val="single"/>
        </w:rPr>
        <w:t>层装修改造工程</w:t>
      </w:r>
      <w:r>
        <w:rPr>
          <w:rFonts w:hint="eastAsia" w:ascii="Times New Roman" w:hAnsi="Times New Roman"/>
          <w:bCs/>
          <w:sz w:val="52"/>
          <w:szCs w:val="52"/>
          <w:u w:val="single"/>
        </w:rPr>
        <w:br w:type="textWrapping"/>
      </w:r>
      <w:r>
        <w:rPr>
          <w:rFonts w:hint="eastAsia" w:ascii="Times New Roman" w:hAnsi="Times New Roman"/>
          <w:bCs/>
          <w:sz w:val="52"/>
          <w:szCs w:val="52"/>
          <w:u w:val="single"/>
          <w:lang w:val="en-US" w:eastAsia="zh-CN"/>
        </w:rPr>
        <w:t>瓷砖及美缝</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项目(第二次)</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color w:val="auto"/>
          <w:sz w:val="24"/>
          <w:szCs w:val="28"/>
        </w:rPr>
      </w:pPr>
      <w:r>
        <w:rPr>
          <w:rFonts w:ascii="Times New Roman" w:hAnsi="Times New Roman"/>
          <w:b/>
          <w:bCs w:val="0"/>
          <w:color w:val="auto"/>
          <w:sz w:val="24"/>
          <w:u w:val="single"/>
        </w:rPr>
        <w:t>攀枝花金沙产业投资有限公司</w:t>
      </w:r>
      <w:r>
        <w:rPr>
          <w:rFonts w:ascii="Times New Roman" w:hAnsi="Times New Roman"/>
          <w:bCs/>
          <w:color w:val="auto"/>
          <w:sz w:val="24"/>
        </w:rPr>
        <w:t>（采购人）</w:t>
      </w:r>
      <w:r>
        <w:rPr>
          <w:rFonts w:hint="eastAsia" w:ascii="Times New Roman" w:hAnsi="Times New Roman"/>
          <w:b/>
          <w:bCs w:val="0"/>
          <w:color w:val="auto"/>
          <w:sz w:val="24"/>
          <w:u w:val="single"/>
        </w:rPr>
        <w:t>国投大厦1</w:t>
      </w:r>
      <w:r>
        <w:rPr>
          <w:rFonts w:hint="eastAsia" w:ascii="Times New Roman" w:hAnsi="Times New Roman"/>
          <w:b/>
          <w:bCs w:val="0"/>
          <w:color w:val="auto"/>
          <w:sz w:val="24"/>
          <w:u w:val="single"/>
          <w:lang w:val="en-US" w:eastAsia="zh-CN"/>
        </w:rPr>
        <w:t>0</w:t>
      </w:r>
      <w:r>
        <w:rPr>
          <w:rFonts w:hint="eastAsia" w:ascii="Times New Roman" w:hAnsi="Times New Roman"/>
          <w:b/>
          <w:bCs w:val="0"/>
          <w:color w:val="auto"/>
          <w:sz w:val="24"/>
          <w:u w:val="single"/>
        </w:rPr>
        <w:t>-1</w:t>
      </w:r>
      <w:r>
        <w:rPr>
          <w:rFonts w:hint="eastAsia" w:ascii="Times New Roman" w:hAnsi="Times New Roman"/>
          <w:b/>
          <w:bCs w:val="0"/>
          <w:color w:val="auto"/>
          <w:sz w:val="24"/>
          <w:u w:val="single"/>
          <w:lang w:val="en-US" w:eastAsia="zh-CN"/>
        </w:rPr>
        <w:t>1</w:t>
      </w:r>
      <w:r>
        <w:rPr>
          <w:rFonts w:hint="eastAsia" w:ascii="Times New Roman" w:hAnsi="Times New Roman"/>
          <w:b/>
          <w:bCs w:val="0"/>
          <w:color w:val="auto"/>
          <w:sz w:val="24"/>
          <w:u w:val="single"/>
        </w:rPr>
        <w:t>层装修改造项目工程</w:t>
      </w:r>
      <w:r>
        <w:rPr>
          <w:rFonts w:hint="eastAsia" w:ascii="Times New Roman" w:hAnsi="Times New Roman"/>
          <w:b/>
          <w:bCs w:val="0"/>
          <w:color w:val="auto"/>
          <w:sz w:val="24"/>
          <w:u w:val="single"/>
          <w:lang w:val="en-US" w:eastAsia="zh-CN"/>
        </w:rPr>
        <w:t>瓷砖及美缝</w:t>
      </w:r>
      <w:r>
        <w:rPr>
          <w:rFonts w:hint="eastAsia" w:ascii="Times New Roman" w:hAnsi="Times New Roman"/>
          <w:b/>
          <w:bCs w:val="0"/>
          <w:color w:val="auto"/>
          <w:sz w:val="24"/>
          <w:u w:val="single"/>
        </w:rPr>
        <w:t>采购</w:t>
      </w:r>
      <w:r>
        <w:rPr>
          <w:rFonts w:hint="eastAsia" w:ascii="Times New Roman" w:hAnsi="Times New Roman"/>
          <w:b/>
          <w:bCs w:val="0"/>
          <w:color w:val="auto"/>
          <w:sz w:val="24"/>
          <w:u w:val="single"/>
          <w:lang w:val="en-US" w:eastAsia="zh-CN"/>
        </w:rPr>
        <w:t xml:space="preserve">项目(第二次)   </w:t>
      </w:r>
      <w:r>
        <w:rPr>
          <w:rFonts w:ascii="Times New Roman" w:hAnsi="Times New Roman"/>
          <w:color w:val="auto"/>
          <w:sz w:val="24"/>
          <w:szCs w:val="32"/>
        </w:rPr>
        <w:t>采用询价方式</w:t>
      </w:r>
      <w:r>
        <w:rPr>
          <w:rFonts w:ascii="Times New Roman" w:hAnsi="Times New Roman"/>
          <w:color w:val="auto"/>
          <w:sz w:val="24"/>
        </w:rPr>
        <w:t>进行采购，特</w:t>
      </w:r>
      <w:r>
        <w:rPr>
          <w:rFonts w:ascii="Times New Roman" w:hAnsi="Times New Roman"/>
          <w:color w:val="auto"/>
          <w:sz w:val="24"/>
          <w:szCs w:val="28"/>
        </w:rPr>
        <w:t>邀请</w:t>
      </w:r>
      <w:r>
        <w:rPr>
          <w:rFonts w:hint="eastAsia" w:ascii="Times New Roman" w:hAnsi="Times New Roman"/>
          <w:color w:val="auto"/>
          <w:sz w:val="24"/>
          <w:szCs w:val="28"/>
        </w:rPr>
        <w:t>有意向参与并符合</w:t>
      </w:r>
      <w:r>
        <w:rPr>
          <w:rFonts w:ascii="Times New Roman" w:hAnsi="Times New Roman"/>
          <w:color w:val="auto"/>
          <w:sz w:val="24"/>
          <w:szCs w:val="28"/>
        </w:rPr>
        <w:t>本次采购要求</w:t>
      </w:r>
      <w:r>
        <w:rPr>
          <w:rFonts w:hint="eastAsia" w:ascii="Times New Roman" w:hAnsi="Times New Roman"/>
          <w:color w:val="auto"/>
          <w:sz w:val="24"/>
          <w:szCs w:val="28"/>
        </w:rPr>
        <w:t>的</w:t>
      </w:r>
      <w:r>
        <w:rPr>
          <w:rFonts w:ascii="Times New Roman" w:hAnsi="Times New Roman"/>
          <w:color w:val="auto"/>
          <w:sz w:val="24"/>
          <w:szCs w:val="28"/>
        </w:rPr>
        <w:t>供应商参加</w:t>
      </w:r>
      <w:r>
        <w:rPr>
          <w:rFonts w:hint="eastAsia" w:ascii="Times New Roman" w:hAnsi="Times New Roman"/>
          <w:b/>
          <w:bCs/>
          <w:color w:val="auto"/>
          <w:sz w:val="24"/>
        </w:rPr>
        <w:t>询价资格预审</w:t>
      </w:r>
      <w:r>
        <w:rPr>
          <w:rFonts w:hint="eastAsia" w:ascii="Times New Roman" w:hAnsi="Times New Roman"/>
          <w:b/>
          <w:bCs/>
          <w:color w:val="auto"/>
          <w:sz w:val="24"/>
          <w:lang w:val="en-US" w:eastAsia="zh-CN"/>
        </w:rPr>
        <w:t>及询价工作</w:t>
      </w:r>
      <w:r>
        <w:rPr>
          <w:rFonts w:ascii="Times New Roman" w:hAnsi="Times New Roman"/>
          <w:color w:val="auto"/>
          <w:sz w:val="24"/>
          <w:szCs w:val="28"/>
        </w:rPr>
        <w:t>。</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一、采购项目基本情况</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1.项目编号：</w:t>
      </w:r>
      <w:r>
        <w:rPr>
          <w:rFonts w:hint="eastAsia" w:ascii="Times New Roman" w:hAnsi="Times New Roman"/>
          <w:color w:val="auto"/>
          <w:sz w:val="24"/>
        </w:rPr>
        <w:t>JS20240</w:t>
      </w:r>
      <w:r>
        <w:rPr>
          <w:rFonts w:hint="eastAsia" w:ascii="Times New Roman" w:hAnsi="Times New Roman"/>
          <w:color w:val="auto"/>
          <w:sz w:val="24"/>
          <w:lang w:val="en-US" w:eastAsia="zh-CN"/>
        </w:rPr>
        <w:t>36</w:t>
      </w:r>
      <w:r>
        <w:rPr>
          <w:rFonts w:hint="eastAsia" w:ascii="Times New Roman" w:hAnsi="Times New Roman"/>
          <w:color w:val="auto"/>
          <w:sz w:val="24"/>
        </w:rPr>
        <w:t>。</w:t>
      </w:r>
    </w:p>
    <w:p>
      <w:pPr>
        <w:spacing w:line="360" w:lineRule="auto"/>
        <w:ind w:firstLine="480" w:firstLineChars="200"/>
        <w:rPr>
          <w:rFonts w:hint="default" w:ascii="Times New Roman" w:hAnsi="Times New Roman" w:eastAsia="宋体"/>
          <w:bCs/>
          <w:color w:val="auto"/>
          <w:sz w:val="24"/>
          <w:lang w:val="en-US" w:eastAsia="zh-CN"/>
        </w:rPr>
      </w:pPr>
      <w:r>
        <w:rPr>
          <w:rFonts w:ascii="Times New Roman" w:hAnsi="Times New Roman"/>
          <w:color w:val="auto"/>
          <w:sz w:val="24"/>
        </w:rPr>
        <w:t>2.采购项目名称：</w:t>
      </w:r>
      <w:r>
        <w:rPr>
          <w:rFonts w:hint="eastAsia" w:ascii="Times New Roman" w:hAnsi="Times New Roman"/>
          <w:bCs/>
          <w:color w:val="auto"/>
          <w:sz w:val="24"/>
        </w:rPr>
        <w:t>国投大厦1</w:t>
      </w:r>
      <w:r>
        <w:rPr>
          <w:rFonts w:hint="eastAsia" w:ascii="Times New Roman" w:hAnsi="Times New Roman"/>
          <w:bCs/>
          <w:color w:val="auto"/>
          <w:sz w:val="24"/>
          <w:lang w:val="en-US" w:eastAsia="zh-CN"/>
        </w:rPr>
        <w:t>0</w:t>
      </w:r>
      <w:r>
        <w:rPr>
          <w:rFonts w:hint="eastAsia" w:ascii="Times New Roman" w:hAnsi="Times New Roman"/>
          <w:bCs/>
          <w:color w:val="auto"/>
          <w:sz w:val="24"/>
        </w:rPr>
        <w:t>-1</w:t>
      </w:r>
      <w:r>
        <w:rPr>
          <w:rFonts w:hint="eastAsia" w:ascii="Times New Roman" w:hAnsi="Times New Roman"/>
          <w:bCs/>
          <w:color w:val="auto"/>
          <w:sz w:val="24"/>
          <w:lang w:val="en-US" w:eastAsia="zh-CN"/>
        </w:rPr>
        <w:t>1</w:t>
      </w:r>
      <w:r>
        <w:rPr>
          <w:rFonts w:hint="eastAsia" w:ascii="Times New Roman" w:hAnsi="Times New Roman"/>
          <w:bCs/>
          <w:color w:val="auto"/>
          <w:sz w:val="24"/>
        </w:rPr>
        <w:t>层装修改造项目工程</w:t>
      </w:r>
      <w:r>
        <w:rPr>
          <w:rFonts w:hint="eastAsia" w:ascii="Times New Roman" w:hAnsi="Times New Roman"/>
          <w:bCs/>
          <w:color w:val="auto"/>
          <w:sz w:val="24"/>
          <w:lang w:val="en-US" w:eastAsia="zh-CN"/>
        </w:rPr>
        <w:t>瓷砖及美缝</w:t>
      </w:r>
      <w:r>
        <w:rPr>
          <w:rFonts w:hint="eastAsia" w:ascii="Times New Roman" w:hAnsi="Times New Roman"/>
          <w:bCs/>
          <w:color w:val="auto"/>
          <w:sz w:val="24"/>
        </w:rPr>
        <w:t>采购</w:t>
      </w:r>
      <w:r>
        <w:rPr>
          <w:rFonts w:hint="eastAsia" w:ascii="Times New Roman" w:hAnsi="Times New Roman"/>
          <w:bCs/>
          <w:color w:val="auto"/>
          <w:sz w:val="24"/>
          <w:lang w:val="en-US" w:eastAsia="zh-CN"/>
        </w:rPr>
        <w:t>项目(第二次)。</w:t>
      </w:r>
    </w:p>
    <w:p>
      <w:pPr>
        <w:spacing w:line="360" w:lineRule="auto"/>
        <w:ind w:firstLine="480" w:firstLineChars="200"/>
        <w:rPr>
          <w:rFonts w:ascii="Times New Roman" w:hAnsi="Times New Roman"/>
          <w:color w:val="auto"/>
          <w:sz w:val="24"/>
        </w:rPr>
      </w:pPr>
      <w:r>
        <w:rPr>
          <w:rFonts w:ascii="Times New Roman" w:hAnsi="Times New Roman"/>
          <w:color w:val="auto"/>
          <w:sz w:val="24"/>
        </w:rPr>
        <w:t>3.采购人：攀枝花金沙产业投资有限公司</w:t>
      </w:r>
    </w:p>
    <w:p>
      <w:pPr>
        <w:spacing w:line="360" w:lineRule="auto"/>
        <w:ind w:firstLine="482" w:firstLineChars="200"/>
        <w:rPr>
          <w:rFonts w:hint="default" w:ascii="Times New Roman" w:hAnsi="Times New Roman" w:eastAsia="宋体"/>
          <w:b/>
          <w:color w:val="auto"/>
          <w:sz w:val="24"/>
          <w:lang w:val="en-US" w:eastAsia="zh-CN"/>
        </w:rPr>
      </w:pPr>
      <w:r>
        <w:rPr>
          <w:rFonts w:ascii="Times New Roman" w:hAnsi="Times New Roman"/>
          <w:b/>
          <w:color w:val="auto"/>
          <w:sz w:val="24"/>
        </w:rPr>
        <w:t>二、资金情况</w:t>
      </w:r>
      <w:r>
        <w:rPr>
          <w:rFonts w:hint="eastAsia" w:ascii="Times New Roman" w:hAnsi="Times New Roman"/>
          <w:b/>
          <w:color w:val="auto"/>
          <w:sz w:val="24"/>
          <w:lang w:val="en-US" w:eastAsia="zh-CN"/>
        </w:rPr>
        <w:t>及最高限价</w:t>
      </w:r>
    </w:p>
    <w:p>
      <w:pPr>
        <w:spacing w:line="360" w:lineRule="auto"/>
        <w:ind w:firstLine="480" w:firstLineChars="200"/>
        <w:rPr>
          <w:rFonts w:hint="eastAsia" w:ascii="Times New Roman" w:hAnsi="Times New Roman"/>
          <w:color w:val="auto"/>
          <w:sz w:val="24"/>
        </w:rPr>
      </w:pPr>
      <w:r>
        <w:rPr>
          <w:rFonts w:ascii="Times New Roman" w:hAnsi="Times New Roman"/>
          <w:color w:val="auto"/>
          <w:sz w:val="24"/>
        </w:rPr>
        <w:t>资金来源：企业自筹</w:t>
      </w:r>
      <w:r>
        <w:rPr>
          <w:rFonts w:hint="eastAsia" w:ascii="Times New Roman" w:hAnsi="Times New Roman"/>
          <w:color w:val="auto"/>
          <w:sz w:val="24"/>
        </w:rPr>
        <w:t>。</w:t>
      </w:r>
    </w:p>
    <w:p>
      <w:pPr>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最高限价：本次询价最高限价为17万元，以每种材料单价进行询价，最终结算价以现场实际书面验收确认的数量/工程量×中标单价为准。</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color w:val="auto"/>
          <w:spacing w:val="-4"/>
          <w:sz w:val="24"/>
        </w:rPr>
      </w:pPr>
      <w:r>
        <w:rPr>
          <w:rFonts w:hint="eastAsia" w:ascii="Times New Roman" w:hAnsi="Times New Roman"/>
          <w:color w:val="auto"/>
          <w:sz w:val="24"/>
        </w:rPr>
        <w:t>项目位于攀枝花市东区三线大道北段118号2栋国投大厦1</w:t>
      </w:r>
      <w:r>
        <w:rPr>
          <w:rFonts w:hint="eastAsia" w:ascii="Times New Roman" w:hAnsi="Times New Roman"/>
          <w:color w:val="auto"/>
          <w:sz w:val="24"/>
          <w:lang w:val="en-US" w:eastAsia="zh-CN"/>
        </w:rPr>
        <w:t>0</w:t>
      </w:r>
      <w:r>
        <w:rPr>
          <w:rFonts w:hint="eastAsia" w:ascii="Times New Roman" w:hAnsi="Times New Roman"/>
          <w:color w:val="auto"/>
          <w:sz w:val="24"/>
        </w:rPr>
        <w:t>-1</w:t>
      </w:r>
      <w:r>
        <w:rPr>
          <w:rFonts w:hint="eastAsia" w:ascii="Times New Roman" w:hAnsi="Times New Roman"/>
          <w:color w:val="auto"/>
          <w:sz w:val="24"/>
          <w:lang w:val="en-US" w:eastAsia="zh-CN"/>
        </w:rPr>
        <w:t>1</w:t>
      </w:r>
      <w:r>
        <w:rPr>
          <w:rFonts w:hint="eastAsia" w:ascii="Times New Roman" w:hAnsi="Times New Roman"/>
          <w:color w:val="auto"/>
          <w:sz w:val="24"/>
        </w:rPr>
        <w:t>层，拟装修改造房屋建筑总面积约3500㎡，主要依据现有空置区域进行装修改造</w:t>
      </w:r>
      <w:r>
        <w:rPr>
          <w:rFonts w:hint="eastAsia" w:ascii="Times New Roman" w:hAnsi="Times New Roman"/>
          <w:color w:val="auto"/>
          <w:spacing w:val="-4"/>
          <w:sz w:val="24"/>
        </w:rPr>
        <w:t>，现需采购一批</w:t>
      </w:r>
      <w:r>
        <w:rPr>
          <w:rFonts w:hint="eastAsia" w:ascii="Times New Roman" w:hAnsi="Times New Roman"/>
          <w:color w:val="auto"/>
          <w:spacing w:val="-4"/>
          <w:sz w:val="24"/>
          <w:lang w:val="en-US" w:eastAsia="zh-CN"/>
        </w:rPr>
        <w:t>瓷砖及美缝材料</w:t>
      </w:r>
      <w:r>
        <w:rPr>
          <w:rFonts w:hint="eastAsia" w:ascii="Times New Roman" w:hAnsi="Times New Roman"/>
          <w:color w:val="auto"/>
          <w:spacing w:val="-4"/>
          <w:sz w:val="24"/>
        </w:rPr>
        <w:t>。</w:t>
      </w:r>
      <w:r>
        <w:rPr>
          <w:rFonts w:hint="eastAsia" w:ascii="Times New Roman" w:hAnsi="Times New Roman"/>
          <w:color w:val="auto"/>
          <w:sz w:val="24"/>
        </w:rPr>
        <w:t>（供货时限：合同签订后</w:t>
      </w:r>
      <w:r>
        <w:rPr>
          <w:rFonts w:hint="eastAsia" w:ascii="Times New Roman" w:hAnsi="Times New Roman"/>
          <w:color w:val="auto"/>
          <w:sz w:val="24"/>
          <w:lang w:val="en-US" w:eastAsia="zh-CN"/>
        </w:rPr>
        <w:t>3</w:t>
      </w:r>
      <w:r>
        <w:rPr>
          <w:rFonts w:hint="eastAsia" w:ascii="Times New Roman" w:hAnsi="Times New Roman"/>
          <w:color w:val="auto"/>
          <w:sz w:val="24"/>
        </w:rPr>
        <w:t>个日历天内）</w:t>
      </w:r>
      <w:r>
        <w:rPr>
          <w:rFonts w:ascii="Times New Roman" w:hAnsi="Times New Roman"/>
          <w:color w:val="auto"/>
          <w:spacing w:val="-4"/>
          <w:sz w:val="24"/>
        </w:rPr>
        <w:t>。</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四、供应商邀请方式</w:t>
      </w:r>
    </w:p>
    <w:p>
      <w:pPr>
        <w:spacing w:line="360" w:lineRule="auto"/>
        <w:ind w:firstLine="480" w:firstLineChars="200"/>
        <w:rPr>
          <w:rFonts w:ascii="Times New Roman" w:hAnsi="Times New Roman"/>
          <w:color w:val="auto"/>
          <w:sz w:val="24"/>
        </w:rPr>
      </w:pPr>
      <w:bookmarkStart w:id="5" w:name="_Hlk92809666"/>
      <w:r>
        <w:rPr>
          <w:rFonts w:ascii="Times New Roman" w:hAnsi="Times New Roman"/>
          <w:color w:val="auto"/>
          <w:sz w:val="24"/>
        </w:rPr>
        <w:t>本项目以公告形式在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w:t>
      </w:r>
    </w:p>
    <w:bookmarkEnd w:id="5"/>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五、供应商参加本次采购活动应具备下列条件：</w:t>
      </w:r>
    </w:p>
    <w:p>
      <w:pPr>
        <w:spacing w:line="360" w:lineRule="auto"/>
        <w:ind w:firstLine="480" w:firstLineChars="200"/>
        <w:rPr>
          <w:rFonts w:ascii="Times New Roman" w:hAnsi="Times New Roman"/>
          <w:color w:val="auto"/>
          <w:sz w:val="24"/>
        </w:rPr>
      </w:pPr>
      <w:bookmarkStart w:id="6" w:name="_Hlk96805982"/>
      <w:r>
        <w:rPr>
          <w:rFonts w:ascii="Times New Roman" w:hAnsi="Times New Roman"/>
          <w:color w:val="auto"/>
          <w:sz w:val="24"/>
        </w:rPr>
        <w:t>1.具备</w:t>
      </w:r>
      <w:r>
        <w:rPr>
          <w:rFonts w:hint="eastAsia" w:ascii="Times New Roman" w:hAnsi="Times New Roman"/>
          <w:color w:val="auto"/>
          <w:sz w:val="24"/>
        </w:rPr>
        <w:t>独立承担民事责任的能力</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2.具有良好的商业信誉；</w:t>
      </w:r>
    </w:p>
    <w:p>
      <w:pPr>
        <w:spacing w:line="360" w:lineRule="auto"/>
        <w:ind w:firstLine="480" w:firstLineChars="200"/>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360" w:lineRule="auto"/>
        <w:ind w:firstLine="456" w:firstLineChars="200"/>
        <w:rPr>
          <w:rFonts w:ascii="Times New Roman" w:hAnsi="Times New Roman"/>
          <w:color w:val="auto"/>
          <w:spacing w:val="-6"/>
          <w:sz w:val="24"/>
        </w:rPr>
      </w:pPr>
      <w:r>
        <w:rPr>
          <w:rFonts w:ascii="Times New Roman" w:hAnsi="Times New Roman"/>
          <w:color w:val="auto"/>
          <w:spacing w:val="-6"/>
          <w:sz w:val="24"/>
        </w:rPr>
        <w:t>5.参加本次采购活动前三年内（202</w:t>
      </w:r>
      <w:r>
        <w:rPr>
          <w:rFonts w:hint="eastAsia" w:ascii="Times New Roman" w:hAnsi="Times New Roman"/>
          <w:color w:val="auto"/>
          <w:spacing w:val="-6"/>
          <w:sz w:val="24"/>
        </w:rPr>
        <w:t>1</w:t>
      </w:r>
      <w:r>
        <w:rPr>
          <w:rFonts w:ascii="Times New Roman" w:hAnsi="Times New Roman"/>
          <w:color w:val="auto"/>
          <w:spacing w:val="-6"/>
          <w:sz w:val="24"/>
        </w:rPr>
        <w:t>年1月1日以来），在经营活动中没有重大违法记录；</w:t>
      </w:r>
    </w:p>
    <w:p>
      <w:pPr>
        <w:spacing w:line="360" w:lineRule="auto"/>
        <w:ind w:firstLine="480" w:firstLineChars="200"/>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8.单位、现任法定代表人或主要负责人无行贿犯罪记录；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.法律、行政法规规定的其他条件；</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10.本项目不允许联合体参加。</w:t>
      </w:r>
    </w:p>
    <w:bookmarkEnd w:id="6"/>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六、</w:t>
      </w:r>
      <w:r>
        <w:rPr>
          <w:rFonts w:hint="eastAsia" w:ascii="Times New Roman" w:hAnsi="Times New Roman"/>
          <w:b/>
          <w:bCs/>
          <w:color w:val="auto"/>
          <w:sz w:val="24"/>
        </w:rPr>
        <w:t>询价资格预审</w:t>
      </w:r>
      <w:r>
        <w:rPr>
          <w:rFonts w:ascii="Times New Roman" w:hAnsi="Times New Roman"/>
          <w:b/>
          <w:bCs/>
          <w:color w:val="auto"/>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15</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val="0"/>
          <w:color w:val="auto"/>
          <w:sz w:val="24"/>
          <w:u w:val="single"/>
        </w:rPr>
        <w:t>202</w:t>
      </w:r>
      <w:r>
        <w:rPr>
          <w:rFonts w:hint="eastAsia" w:ascii="Times New Roman" w:hAnsi="Times New Roman"/>
          <w:b/>
          <w:bCs w:val="0"/>
          <w:color w:val="auto"/>
          <w:sz w:val="24"/>
          <w:u w:val="single"/>
        </w:rPr>
        <w:t>4</w:t>
      </w:r>
      <w:r>
        <w:rPr>
          <w:rFonts w:ascii="Times New Roman" w:hAnsi="Times New Roman"/>
          <w:b/>
          <w:bCs w:val="0"/>
          <w:color w:val="auto"/>
          <w:sz w:val="24"/>
          <w:u w:val="single"/>
        </w:rPr>
        <w:t>年</w:t>
      </w:r>
      <w:r>
        <w:rPr>
          <w:rFonts w:hint="eastAsia" w:ascii="Times New Roman" w:hAnsi="Times New Roman"/>
          <w:b/>
          <w:bCs w:val="0"/>
          <w:color w:val="auto"/>
          <w:sz w:val="24"/>
          <w:u w:val="single"/>
          <w:lang w:val="en-US" w:eastAsia="zh-CN"/>
        </w:rPr>
        <w:t>4</w:t>
      </w:r>
      <w:r>
        <w:rPr>
          <w:rFonts w:ascii="Times New Roman" w:hAnsi="Times New Roman"/>
          <w:b/>
          <w:bCs w:val="0"/>
          <w:color w:val="auto"/>
          <w:sz w:val="24"/>
          <w:u w:val="single"/>
        </w:rPr>
        <w:t>月</w:t>
      </w:r>
      <w:r>
        <w:rPr>
          <w:rFonts w:hint="eastAsia" w:ascii="Times New Roman" w:hAnsi="Times New Roman"/>
          <w:b/>
          <w:bCs w:val="0"/>
          <w:color w:val="auto"/>
          <w:sz w:val="24"/>
          <w:u w:val="single"/>
          <w:lang w:val="en-US" w:eastAsia="zh-CN"/>
        </w:rPr>
        <w:t>15</w:t>
      </w:r>
      <w:r>
        <w:rPr>
          <w:rFonts w:hint="eastAsia" w:ascii="Times New Roman" w:hAnsi="Times New Roman"/>
          <w:b/>
          <w:bCs w:val="0"/>
          <w:color w:val="auto"/>
          <w:sz w:val="24"/>
          <w:u w:val="single"/>
        </w:rPr>
        <w:t>日</w:t>
      </w:r>
      <w:r>
        <w:rPr>
          <w:rFonts w:hint="eastAsia" w:ascii="Times New Roman" w:hAnsi="Times New Roman"/>
          <w:b/>
          <w:bCs w:val="0"/>
          <w:color w:val="auto"/>
          <w:sz w:val="24"/>
          <w:u w:val="single"/>
          <w:lang w:val="en-US" w:eastAsia="zh-CN"/>
        </w:rPr>
        <w:t>09</w:t>
      </w:r>
      <w:r>
        <w:rPr>
          <w:rFonts w:ascii="Times New Roman" w:hAnsi="Times New Roman"/>
          <w:b/>
          <w:bCs w:val="0"/>
          <w:color w:val="auto"/>
          <w:sz w:val="24"/>
          <w:u w:val="single"/>
        </w:rPr>
        <w:t>:</w:t>
      </w:r>
      <w:r>
        <w:rPr>
          <w:rFonts w:hint="eastAsia" w:ascii="Times New Roman" w:hAnsi="Times New Roman"/>
          <w:b/>
          <w:bCs w:val="0"/>
          <w:color w:val="auto"/>
          <w:sz w:val="24"/>
          <w:u w:val="single"/>
          <w:lang w:val="en-US" w:eastAsia="zh-CN"/>
        </w:rPr>
        <w:t>0</w:t>
      </w:r>
      <w:r>
        <w:rPr>
          <w:rFonts w:ascii="Times New Roman" w:hAnsi="Times New Roman"/>
          <w:b/>
          <w:bCs w:val="0"/>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rPr>
        <w:t>八</w:t>
      </w:r>
      <w:r>
        <w:rPr>
          <w:rFonts w:ascii="Times New Roman" w:hAnsi="Times New Roman"/>
          <w:b/>
          <w:color w:val="auto"/>
          <w:sz w:val="24"/>
        </w:rPr>
        <w:t>、递交</w:t>
      </w:r>
      <w:r>
        <w:rPr>
          <w:rFonts w:hint="eastAsia" w:ascii="Times New Roman" w:hAnsi="Times New Roman"/>
          <w:b/>
          <w:color w:val="auto"/>
          <w:sz w:val="24"/>
        </w:rPr>
        <w:t>资格预审申请文件</w:t>
      </w:r>
      <w:r>
        <w:rPr>
          <w:rFonts w:ascii="Times New Roman" w:hAnsi="Times New Roman"/>
          <w:b/>
          <w:color w:val="auto"/>
          <w:sz w:val="24"/>
        </w:rPr>
        <w:t>地点：</w:t>
      </w:r>
      <w:r>
        <w:rPr>
          <w:rFonts w:hint="eastAsia" w:ascii="Times New Roman" w:hAnsi="Times New Roman"/>
          <w:color w:val="auto"/>
          <w:sz w:val="24"/>
        </w:rPr>
        <w:t>资格预审</w:t>
      </w:r>
      <w:r>
        <w:rPr>
          <w:rFonts w:hint="eastAsia" w:ascii="Times New Roman" w:hAnsi="Times New Roman"/>
          <w:color w:val="auto"/>
          <w:sz w:val="24"/>
          <w:lang w:val="en-US" w:eastAsia="zh-CN"/>
        </w:rPr>
        <w:t>及</w:t>
      </w:r>
      <w:r>
        <w:rPr>
          <w:rFonts w:hint="eastAsia" w:ascii="Times New Roman" w:hAnsi="Times New Roman"/>
          <w:color w:val="auto"/>
          <w:sz w:val="24"/>
        </w:rPr>
        <w:t>申请文件</w:t>
      </w:r>
      <w:r>
        <w:rPr>
          <w:rFonts w:ascii="Times New Roman" w:hAnsi="Times New Roman"/>
          <w:color w:val="auto"/>
          <w:sz w:val="24"/>
        </w:rPr>
        <w:t>必须在递交</w:t>
      </w:r>
      <w:r>
        <w:rPr>
          <w:rFonts w:hint="eastAsia" w:ascii="Times New Roman" w:hAnsi="Times New Roman"/>
          <w:color w:val="auto"/>
          <w:sz w:val="24"/>
        </w:rPr>
        <w:t>资格预审申请文件</w:t>
      </w:r>
      <w:r>
        <w:rPr>
          <w:rFonts w:ascii="Times New Roman" w:hAnsi="Times New Roman"/>
          <w:color w:val="auto"/>
          <w:sz w:val="24"/>
        </w:rPr>
        <w:t>截止时间前送达</w:t>
      </w:r>
      <w:r>
        <w:rPr>
          <w:rFonts w:hint="eastAsia" w:ascii="Times New Roman" w:hAnsi="Times New Roman"/>
          <w:color w:val="auto"/>
          <w:sz w:val="24"/>
        </w:rPr>
        <w:t>询价资格预审</w:t>
      </w:r>
      <w:r>
        <w:rPr>
          <w:rFonts w:ascii="Times New Roman" w:hAnsi="Times New Roman"/>
          <w:color w:val="auto"/>
          <w:sz w:val="24"/>
        </w:rPr>
        <w:t>地点。逾期送达、密封和标注错误的</w:t>
      </w:r>
      <w:r>
        <w:rPr>
          <w:rFonts w:hint="eastAsia" w:ascii="Times New Roman" w:hAnsi="Times New Roman"/>
          <w:color w:val="auto"/>
          <w:sz w:val="24"/>
        </w:rPr>
        <w:t>资格预审申请文件</w:t>
      </w:r>
      <w:r>
        <w:rPr>
          <w:rFonts w:ascii="Times New Roman" w:hAnsi="Times New Roman"/>
          <w:color w:val="auto"/>
          <w:sz w:val="24"/>
        </w:rPr>
        <w:t>，采购人恕不接待。</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九</w:t>
      </w:r>
      <w:r>
        <w:rPr>
          <w:rFonts w:ascii="Times New Roman" w:hAnsi="Times New Roman"/>
          <w:b/>
          <w:color w:val="auto"/>
          <w:sz w:val="24"/>
          <w:szCs w:val="28"/>
        </w:rPr>
        <w:t>、</w:t>
      </w:r>
      <w:r>
        <w:rPr>
          <w:rFonts w:ascii="Times New Roman" w:hAnsi="Times New Roman"/>
          <w:color w:val="auto"/>
          <w:sz w:val="24"/>
        </w:rPr>
        <w:t>本项目公告信息指定在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（http://www.pzhguotou.com）发布，采购方可以在其他公开媒体同时发布公告信息，</w:t>
      </w:r>
      <w:r>
        <w:rPr>
          <w:rFonts w:hint="eastAsia" w:ascii="Times New Roman" w:hAnsi="Times New Roman"/>
          <w:color w:val="auto"/>
          <w:sz w:val="24"/>
        </w:rPr>
        <w:t>攀枝花市国有投资（集团）有限责任公司官网</w:t>
      </w:r>
      <w:r>
        <w:rPr>
          <w:rFonts w:ascii="Times New Roman" w:hAnsi="Times New Roman"/>
          <w:color w:val="auto"/>
          <w:sz w:val="24"/>
        </w:rPr>
        <w:t>发布的信息为准。</w:t>
      </w:r>
    </w:p>
    <w:p>
      <w:pPr>
        <w:spacing w:line="360" w:lineRule="auto"/>
        <w:ind w:firstLine="482" w:firstLineChars="200"/>
        <w:rPr>
          <w:rFonts w:ascii="Times New Roman" w:hAnsi="Times New Roman"/>
          <w:color w:val="auto"/>
          <w:sz w:val="24"/>
          <w:szCs w:val="28"/>
        </w:rPr>
      </w:pPr>
      <w:r>
        <w:rPr>
          <w:rFonts w:ascii="Times New Roman" w:hAnsi="Times New Roman"/>
          <w:b/>
          <w:color w:val="auto"/>
          <w:sz w:val="24"/>
          <w:szCs w:val="28"/>
        </w:rPr>
        <w:t>十、</w:t>
      </w:r>
      <w:r>
        <w:rPr>
          <w:rFonts w:hint="eastAsia" w:ascii="Times New Roman" w:hAnsi="Times New Roman"/>
          <w:b/>
          <w:color w:val="auto"/>
          <w:sz w:val="24"/>
          <w:szCs w:val="28"/>
        </w:rPr>
        <w:t>询价资格预审</w:t>
      </w:r>
      <w:r>
        <w:rPr>
          <w:rFonts w:ascii="Times New Roman" w:hAnsi="Times New Roman"/>
          <w:b/>
          <w:color w:val="auto"/>
          <w:sz w:val="24"/>
          <w:szCs w:val="28"/>
        </w:rPr>
        <w:t>地点：</w:t>
      </w:r>
      <w:r>
        <w:rPr>
          <w:rFonts w:ascii="Times New Roman" w:hAnsi="Times New Roman"/>
          <w:color w:val="auto"/>
          <w:sz w:val="24"/>
          <w:szCs w:val="28"/>
          <w:u w:val="single"/>
        </w:rPr>
        <w:t>【攀枝花市东区三线大道北段118号2栋</w:t>
      </w:r>
      <w:r>
        <w:rPr>
          <w:rFonts w:hint="eastAsia" w:ascii="Times New Roman" w:hAnsi="Times New Roman"/>
          <w:color w:val="auto"/>
          <w:sz w:val="24"/>
          <w:szCs w:val="28"/>
          <w:u w:val="single"/>
        </w:rPr>
        <w:t>5</w:t>
      </w:r>
      <w:r>
        <w:rPr>
          <w:rFonts w:ascii="Times New Roman" w:hAnsi="Times New Roman"/>
          <w:color w:val="auto"/>
          <w:sz w:val="24"/>
          <w:szCs w:val="28"/>
          <w:u w:val="single"/>
        </w:rPr>
        <w:t>1</w:t>
      </w:r>
      <w:r>
        <w:rPr>
          <w:rFonts w:hint="eastAsia" w:ascii="Times New Roman" w:hAnsi="Times New Roman"/>
          <w:color w:val="auto"/>
          <w:sz w:val="24"/>
          <w:szCs w:val="28"/>
          <w:u w:val="single"/>
        </w:rPr>
        <w:t>5</w:t>
      </w:r>
      <w:r>
        <w:rPr>
          <w:rFonts w:ascii="Times New Roman" w:hAnsi="Times New Roman"/>
          <w:color w:val="auto"/>
          <w:sz w:val="24"/>
          <w:szCs w:val="28"/>
          <w:u w:val="single"/>
        </w:rPr>
        <w:t>室】</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十</w:t>
      </w:r>
      <w:r>
        <w:rPr>
          <w:rFonts w:hint="eastAsia" w:ascii="Times New Roman" w:hAnsi="Times New Roman"/>
          <w:b/>
          <w:color w:val="auto"/>
          <w:sz w:val="24"/>
        </w:rPr>
        <w:t>一</w:t>
      </w:r>
      <w:r>
        <w:rPr>
          <w:rFonts w:ascii="Times New Roman" w:hAnsi="Times New Roman"/>
          <w:b/>
          <w:color w:val="auto"/>
          <w:sz w:val="24"/>
        </w:rPr>
        <w:t>、联系方式</w:t>
      </w:r>
    </w:p>
    <w:p>
      <w:pPr>
        <w:spacing w:line="360" w:lineRule="auto"/>
        <w:ind w:firstLine="480" w:firstLineChars="200"/>
        <w:rPr>
          <w:rFonts w:ascii="Times New Roman" w:hAnsi="Times New Roman"/>
          <w:color w:val="auto"/>
          <w:sz w:val="24"/>
        </w:rPr>
      </w:pPr>
      <w:r>
        <w:rPr>
          <w:rFonts w:ascii="Times New Roman" w:hAnsi="Times New Roman"/>
          <w:color w:val="auto"/>
          <w:sz w:val="24"/>
        </w:rPr>
        <w:t>采 购 人：</w:t>
      </w:r>
      <w:r>
        <w:rPr>
          <w:rFonts w:ascii="Times New Roman" w:hAnsi="Times New Roman"/>
          <w:color w:val="auto"/>
          <w:sz w:val="24"/>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rPr>
      </w:pPr>
      <w:r>
        <w:rPr>
          <w:rFonts w:ascii="Times New Roman" w:hAnsi="Times New Roman"/>
          <w:color w:val="auto"/>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lang w:eastAsia="zh-CN"/>
        </w:rPr>
      </w:pPr>
      <w:r>
        <w:rPr>
          <w:rFonts w:ascii="Times New Roman" w:hAnsi="Times New Roman"/>
          <w:color w:val="auto"/>
          <w:kern w:val="0"/>
          <w:sz w:val="24"/>
        </w:rPr>
        <w:t>联 系 人：</w:t>
      </w:r>
      <w:r>
        <w:rPr>
          <w:rFonts w:hint="eastAsia" w:ascii="Times New Roman" w:hAnsi="Times New Roman"/>
          <w:color w:val="auto"/>
          <w:kern w:val="0"/>
          <w:sz w:val="24"/>
          <w:lang w:val="en-US" w:eastAsia="zh-CN"/>
        </w:rPr>
        <w:t>杨</w:t>
      </w:r>
      <w:r>
        <w:rPr>
          <w:rFonts w:hint="eastAsia" w:ascii="Times New Roman" w:hAnsi="Times New Roman"/>
          <w:color w:val="auto"/>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color w:val="auto"/>
          <w:kern w:val="0"/>
          <w:sz w:val="24"/>
        </w:rPr>
        <w:t>联系电话：</w:t>
      </w:r>
      <w:r>
        <w:rPr>
          <w:rFonts w:hint="eastAsia" w:ascii="Times New Roman" w:hAnsi="Times New Roman"/>
          <w:color w:val="auto"/>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17</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b/>
                <w:bCs/>
                <w:color w:val="FF0000"/>
                <w:sz w:val="24"/>
                <w:u w:val="single"/>
                <w:lang w:eastAsia="zh-CN"/>
              </w:rPr>
              <w:t>，</w:t>
            </w:r>
            <w:r>
              <w:rPr>
                <w:rFonts w:hint="eastAsia" w:ascii="Times New Roman" w:hAnsi="Times New Roman"/>
                <w:b/>
                <w:bCs/>
                <w:color w:val="FF0000"/>
                <w:sz w:val="24"/>
                <w:u w:val="single"/>
              </w:rPr>
              <w:t>最终结算价以现场实际书面验收确认的数量/工程量×中标单价为准。</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eastAsia="宋体"/>
          <w:b w:val="0"/>
          <w:sz w:val="24"/>
          <w:szCs w:val="24"/>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bookmarkEnd w:id="38"/>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r>
        <w:rPr>
          <w:rFonts w:hint="eastAsia" w:ascii="宋体" w:hAnsi="宋体"/>
          <w:sz w:val="24"/>
        </w:rPr>
        <w:t>1、需求清单</w:t>
      </w: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2"/>
        <w:ind w:left="0" w:leftChars="0" w:firstLine="0" w:firstLineChars="0"/>
      </w:pPr>
    </w:p>
    <w:p>
      <w:pPr>
        <w:pStyle w:val="2"/>
        <w:ind w:left="0" w:leftChars="0" w:firstLine="0" w:firstLineChars="0"/>
        <w:sectPr>
          <w:pgSz w:w="16838" w:h="13224" w:orient="landscape"/>
          <w:pgMar w:top="1800" w:right="1440" w:bottom="1800" w:left="1440" w:header="851" w:footer="992" w:gutter="0"/>
          <w:pgNumType w:fmt="decimal"/>
          <w:cols w:space="720" w:num="1"/>
          <w:docGrid w:type="lines" w:linePitch="312" w:charSpace="0"/>
        </w:sectPr>
      </w:pP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6446261"/>
      <w:bookmarkStart w:id="52" w:name="_Toc11832144"/>
      <w:bookmarkStart w:id="53" w:name="_Toc94345768"/>
      <w:bookmarkStart w:id="54" w:name="_Toc13564302"/>
      <w:bookmarkStart w:id="55" w:name="_Toc11764033"/>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hint="eastAsia" w:ascii="Times New Roman" w:hAnsi="Times New Roman"/>
          <w:b/>
          <w:sz w:val="32"/>
          <w:szCs w:val="32"/>
        </w:rPr>
        <w:sectPr>
          <w:pgSz w:w="13224" w:h="16838"/>
          <w:pgMar w:top="1440" w:right="1800" w:bottom="1440" w:left="1800" w:header="851" w:footer="992" w:gutter="0"/>
          <w:pgNumType w:fmt="decimal"/>
          <w:cols w:space="720" w:num="1"/>
          <w:docGrid w:type="lines" w:linePitch="312" w:charSpace="0"/>
        </w:sectPr>
      </w:pPr>
      <w:r>
        <w:rPr>
          <w:rFonts w:ascii="Times New Roman" w:hAnsi="Times New Roman"/>
          <w:sz w:val="24"/>
        </w:rPr>
        <w:t>日    期：     年      月</w:t>
      </w:r>
      <w:r>
        <w:rPr>
          <w:rFonts w:hint="eastAsia" w:ascii="Times New Roman" w:hAnsi="Times New Roman"/>
          <w:sz w:val="24"/>
        </w:rPr>
        <w:t xml:space="preserve">     日</w:t>
      </w: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国投大厦10-11层装修改造工程瓷砖及美缝采购项目(第二次)</w:t>
            </w:r>
            <w:bookmarkStart w:id="62" w:name="_GoBack"/>
            <w:bookmarkEnd w:id="62"/>
            <w:r>
              <w:rPr>
                <w:rFonts w:hint="eastAsia" w:ascii="方正仿宋简体" w:hAnsi="方正仿宋简体" w:eastAsia="方正仿宋简体" w:cs="方正仿宋简体"/>
                <w:b/>
                <w:bCs/>
                <w:i w:val="0"/>
                <w:iCs w:val="0"/>
                <w:color w:val="000000"/>
                <w:kern w:val="0"/>
                <w:sz w:val="36"/>
                <w:szCs w:val="36"/>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897" w:firstLineChars="900"/>
              <w:jc w:val="both"/>
              <w:textAlignment w:val="auto"/>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yellow"/>
                <w:lang w:val="en-US"/>
              </w:rPr>
            </w:pPr>
            <w:r>
              <w:rPr>
                <w:rFonts w:hint="eastAsia"/>
                <w:color w:val="auto"/>
                <w:highlight w:val="none"/>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yellow"/>
              </w:rPr>
            </w:pPr>
            <w:r>
              <w:rPr>
                <w:rFonts w:hint="eastAsia"/>
                <w:color w:val="auto"/>
                <w:highlight w:val="none"/>
              </w:rPr>
              <w:t>价格分统一采用低价优先法计算，即满足磋商文件要求且最后报价最低的报价为磋商基准价，其价格分为满分。其他供应商的价格分统一按照下列公式计算：报价得分=(磋商基准价／最后报价)×</w:t>
            </w:r>
            <w:r>
              <w:rPr>
                <w:rFonts w:hint="eastAsia"/>
                <w:color w:val="auto"/>
                <w:highlight w:val="none"/>
                <w:lang w:val="en-US" w:eastAsia="zh-CN"/>
              </w:rPr>
              <w:t>50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rPr>
              <w:t>本评分项按照</w:t>
            </w:r>
            <w:r>
              <w:rPr>
                <w:rFonts w:hint="eastAsia"/>
                <w:color w:val="auto"/>
                <w:lang w:val="en-US" w:eastAsia="zh-CN"/>
              </w:rPr>
              <w:t>总分</w:t>
            </w:r>
            <w:r>
              <w:rPr>
                <w:rFonts w:hint="eastAsia"/>
                <w:color w:val="auto"/>
              </w:rPr>
              <w:t>10分制评分，</w:t>
            </w:r>
            <w:r>
              <w:rPr>
                <w:rFonts w:hint="eastAsia"/>
                <w:color w:val="auto"/>
                <w:lang w:val="en-US" w:eastAsia="zh-CN"/>
              </w:rPr>
              <w:t>以上</w:t>
            </w:r>
            <w:r>
              <w:rPr>
                <w:rFonts w:hint="eastAsia"/>
                <w:color w:val="auto"/>
              </w:rPr>
              <w:t>响应内容</w:t>
            </w:r>
            <w:r>
              <w:rPr>
                <w:rFonts w:hint="eastAsia"/>
                <w:color w:val="auto"/>
                <w:lang w:val="en-US" w:eastAsia="zh-CN"/>
              </w:rPr>
              <w:t>提供一项得0.5分，有明显错误的该项不得分，某项</w:t>
            </w:r>
            <w:r>
              <w:rPr>
                <w:rFonts w:hint="eastAsia"/>
                <w:color w:val="auto"/>
              </w:rPr>
              <w:t>未提供</w:t>
            </w:r>
            <w:r>
              <w:rPr>
                <w:rFonts w:hint="eastAsia"/>
                <w:color w:val="auto"/>
                <w:lang w:val="en-US" w:eastAsia="zh-CN"/>
              </w:rPr>
              <w:t>该项</w:t>
            </w:r>
            <w:r>
              <w:rPr>
                <w:rFonts w:hint="eastAsia"/>
                <w:color w:val="auto"/>
              </w:rPr>
              <w:t>不得分</w:t>
            </w:r>
            <w:r>
              <w:rPr>
                <w:rFonts w:hint="eastAsia"/>
                <w:color w:val="auto"/>
                <w:lang w:eastAsia="zh-CN"/>
              </w:rPr>
              <w:t>；</w:t>
            </w:r>
            <w:r>
              <w:rPr>
                <w:rFonts w:hint="eastAsia"/>
                <w:color w:val="auto"/>
                <w:lang w:val="en-US" w:eastAsia="zh-CN"/>
              </w:rPr>
              <w:t>响应内容</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中(6.5,7.5]分,良好(7.5,8.5]分,优良(8.5,9.5]分，优(9.5,10]分，区间评分步长为0.1分</w:t>
            </w:r>
            <w:r>
              <w:rPr>
                <w:rFonts w:hint="eastAsia"/>
                <w:color w:val="auto"/>
                <w:lang w:val="en-US" w:eastAsia="zh-CN"/>
              </w:rPr>
              <w:t>。</w:t>
            </w:r>
            <w:r>
              <w:rPr>
                <w:rFonts w:hint="eastAsia"/>
                <w:color w:val="auto"/>
              </w:rPr>
              <w:t>本评分项的权重分值</w:t>
            </w:r>
            <w:r>
              <w:rPr>
                <w:rFonts w:hint="eastAsia"/>
                <w:color w:val="auto"/>
                <w:lang w:val="en-US" w:eastAsia="zh-CN"/>
              </w:rPr>
              <w:t>35</w:t>
            </w:r>
            <w:r>
              <w:rPr>
                <w:rFonts w:hint="eastAsia"/>
                <w:color w:val="auto"/>
              </w:rPr>
              <w:t>分，本评分项的最终权重得分=（10分制评分/10）*权重分值。</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履约能力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default"/>
                <w:color w:val="auto"/>
                <w:highlight w:val="none"/>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eastAsia="zh-CN"/>
              </w:rPr>
            </w:pPr>
            <w:r>
              <w:rPr>
                <w:rFonts w:hint="eastAsia"/>
                <w:color w:val="auto"/>
                <w:highlight w:val="none"/>
                <w:lang w:val="en-US" w:eastAsia="zh-CN"/>
              </w:rPr>
              <w:t>提供其它项目瓷砖供货合同复印件，每提供一个得</w:t>
            </w:r>
            <w:r>
              <w:rPr>
                <w:rFonts w:hint="default"/>
                <w:color w:val="auto"/>
                <w:highlight w:val="none"/>
                <w:lang w:val="en-US" w:eastAsia="zh-CN"/>
              </w:rPr>
              <w:t>1</w:t>
            </w:r>
            <w:r>
              <w:rPr>
                <w:rFonts w:hint="eastAsia"/>
                <w:color w:val="auto"/>
                <w:highlight w:val="none"/>
                <w:lang w:val="en-US" w:eastAsia="zh-CN"/>
              </w:rPr>
              <w:t>分，本项总分</w:t>
            </w:r>
            <w:r>
              <w:rPr>
                <w:rFonts w:hint="default"/>
                <w:color w:val="auto"/>
                <w:highlight w:val="none"/>
                <w:lang w:val="en-US" w:eastAsia="zh-CN"/>
              </w:rPr>
              <w:t>5</w:t>
            </w:r>
            <w:r>
              <w:rPr>
                <w:rFonts w:hint="eastAsia"/>
                <w:color w:val="auto"/>
                <w:highlight w:val="none"/>
                <w:lang w:val="en-US" w:eastAsia="zh-CN"/>
              </w:rPr>
              <w:t>分。</w:t>
            </w: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default"/>
                <w:color w:val="auto"/>
                <w:highlight w:val="none"/>
                <w:lang w:val="en-US"/>
              </w:rPr>
              <w:t>4</w:t>
            </w:r>
          </w:p>
        </w:tc>
        <w:tc>
          <w:tcPr>
            <w:tcW w:w="138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lang w:eastAsia="zh-CN"/>
              </w:rPr>
              <w:t>样品</w:t>
            </w:r>
          </w:p>
        </w:tc>
        <w:tc>
          <w:tcPr>
            <w:tcW w:w="84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val="en-US" w:eastAsia="zh-CN"/>
              </w:rPr>
            </w:pPr>
            <w:r>
              <w:rPr>
                <w:rFonts w:hint="eastAsia"/>
                <w:color w:val="auto"/>
                <w:highlight w:val="none"/>
                <w:lang w:val="en-US" w:eastAsia="zh-CN"/>
              </w:rPr>
              <w:t>提供产品合格证，样品观感、材质和厚度、尺寸偏差、样式、踩踏及触感等技术评分10分。提供产三种规格瓷砖和美缝剂样品及合格证，每提供一种规格样品或合格证得1分，样品及合格证任一项未提供不得分；样品的观感、材质和厚度、尺寸偏差、样式、踩踏及触感等技术评分，</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kern w:val="44"/>
          <w:sz w:val="32"/>
          <w:szCs w:val="32"/>
        </w:rPr>
      </w:pPr>
      <w:r>
        <w:rPr>
          <w:rFonts w:hint="eastAsia" w:ascii="宋体" w:hAnsi="宋体" w:eastAsia="宋体" w:cs="宋体"/>
          <w:b/>
          <w:bCs w:val="0"/>
          <w:kern w:val="2"/>
          <w:sz w:val="36"/>
          <w:szCs w:val="36"/>
        </w:rPr>
        <w:t>采购合同（草案）</w:t>
      </w:r>
    </w:p>
    <w:p>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p>
      <w:pPr>
        <w:spacing w:line="360" w:lineRule="auto"/>
        <w:jc w:val="center"/>
        <w:rPr>
          <w:rFonts w:hint="eastAsia" w:ascii="宋体" w:hAnsi="宋体"/>
          <w:sz w:val="24"/>
        </w:rPr>
      </w:pPr>
      <w:r>
        <w:rPr>
          <w:rFonts w:hint="eastAsia" w:ascii="黑体" w:hAnsi="黑体" w:eastAsia="黑体" w:cs="Times New Roman"/>
          <w:color w:val="auto"/>
          <w:sz w:val="44"/>
          <w:szCs w:val="44"/>
          <w:lang w:val="en-US" w:eastAsia="zh-CN"/>
        </w:rPr>
        <w:t>国投大厦10-11层装修改造工程瓷砖及美缝</w:t>
      </w:r>
      <w:r>
        <w:rPr>
          <w:rFonts w:hint="eastAsia" w:ascii="黑体" w:hAnsi="黑体" w:eastAsia="黑体" w:cs="Times New Roman"/>
          <w:color w:val="auto"/>
          <w:sz w:val="44"/>
          <w:szCs w:val="44"/>
          <w:lang w:val="en-US" w:eastAsia="zh-CN"/>
        </w:rPr>
        <w:br w:type="textWrapping"/>
      </w:r>
      <w:r>
        <w:rPr>
          <w:rFonts w:hint="eastAsia" w:ascii="黑体" w:hAnsi="黑体" w:eastAsia="黑体" w:cs="Times New Roman"/>
          <w:color w:val="auto"/>
          <w:sz w:val="44"/>
          <w:szCs w:val="44"/>
          <w:lang w:val="en-US" w:eastAsia="zh-CN"/>
        </w:rPr>
        <w:t>采购</w:t>
      </w:r>
      <w:r>
        <w:rPr>
          <w:rFonts w:hint="eastAsia" w:ascii="黑体" w:hAnsi="黑体" w:eastAsia="黑体"/>
          <w:color w:val="auto"/>
          <w:sz w:val="44"/>
          <w:szCs w:val="44"/>
        </w:rPr>
        <w:t>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eastAsia="宋体"/>
          <w:b/>
          <w:bCs/>
          <w:sz w:val="24"/>
          <w:u w:val="single"/>
          <w:lang w:val="en-US" w:eastAsia="zh-CN"/>
        </w:rPr>
      </w:pPr>
      <w:r>
        <w:rPr>
          <w:rFonts w:hint="eastAsia" w:ascii="宋体" w:hAnsi="宋体"/>
          <w:b/>
          <w:bCs/>
          <w:sz w:val="24"/>
        </w:rPr>
        <w:t>采购方（甲方）：</w:t>
      </w:r>
      <w:r>
        <w:rPr>
          <w:rFonts w:hint="eastAsia" w:ascii="宋体" w:hAnsi="宋体"/>
          <w:b/>
          <w:bCs/>
          <w:sz w:val="24"/>
          <w:u w:val="single"/>
        </w:rPr>
        <w:t xml:space="preserve">   </w:t>
      </w:r>
      <w:r>
        <w:rPr>
          <w:rFonts w:hint="eastAsia" w:ascii="宋体" w:hAnsi="宋体"/>
          <w:b/>
          <w:bCs/>
          <w:sz w:val="24"/>
          <w:u w:val="single"/>
          <w:lang w:val="en-US" w:eastAsia="zh-CN"/>
        </w:rPr>
        <w:t xml:space="preserve">  攀枝花金沙产业投资有限公司</w:t>
      </w:r>
      <w:r>
        <w:rPr>
          <w:rFonts w:hint="eastAsia" w:ascii="宋体" w:hAnsi="宋体"/>
          <w:b/>
          <w:bCs/>
          <w:sz w:val="24"/>
          <w:u w:val="single"/>
        </w:rPr>
        <w:t xml:space="preserve">            </w:t>
      </w:r>
      <w:r>
        <w:rPr>
          <w:rFonts w:hint="eastAsia" w:ascii="宋体" w:hAnsi="宋体"/>
          <w:b/>
          <w:bCs/>
          <w:sz w:val="24"/>
          <w:u w:val="single"/>
          <w:lang w:val="en-US" w:eastAsia="zh-CN"/>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i w:val="0"/>
          <w:caps w:val="0"/>
          <w:spacing w:val="0"/>
          <w:w w:val="100"/>
          <w:sz w:val="24"/>
          <w:szCs w:val="24"/>
          <w:u w:val="single" w:color="000000"/>
          <w:lang w:val="en-US" w:eastAsia="zh-CN"/>
        </w:rPr>
        <w:t>四川省攀枝花市东区三线大道北段118号2栋</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》、《中华人民共和国产品质量法》等相关法律法规，双方经过充分友好协商，本着诚实守信、平等互利的原则，就甲方向乙方购买</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墙面、地面瓷砖及美缝</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eastAsia="宋体" w:cs="Times New Roman"/>
          <w:color w:val="auto"/>
          <w:sz w:val="24"/>
          <w:u w:val="single"/>
          <w:lang w:val="en-US" w:eastAsia="zh-CN"/>
        </w:rPr>
        <w:t>国投大厦14-15层装修改造</w:t>
      </w:r>
      <w:r>
        <w:rPr>
          <w:rFonts w:hint="eastAsia" w:ascii="宋体" w:hAnsi="宋体"/>
          <w:sz w:val="24"/>
        </w:rPr>
        <w:t>工程的相关事宜，达成如下合同条款。</w:t>
      </w:r>
    </w:p>
    <w:p>
      <w:pPr>
        <w:spacing w:line="360" w:lineRule="auto"/>
        <w:ind w:firstLine="472" w:firstLineChars="196"/>
        <w:jc w:val="left"/>
        <w:rPr>
          <w:rFonts w:hint="eastAsia" w:ascii="宋体" w:hAnsi="宋体"/>
          <w:b/>
          <w:sz w:val="24"/>
        </w:rPr>
      </w:pPr>
      <w:r>
        <w:rPr>
          <w:rFonts w:hint="eastAsia" w:ascii="宋体" w:hAnsi="宋体"/>
          <w:b/>
          <w:sz w:val="24"/>
        </w:rPr>
        <w:t>一、供货基本情况</w:t>
      </w:r>
    </w:p>
    <w:p>
      <w:pPr>
        <w:spacing w:line="360" w:lineRule="auto"/>
        <w:ind w:firstLine="240" w:firstLineChars="100"/>
        <w:jc w:val="left"/>
        <w:rPr>
          <w:rFonts w:hint="eastAsia" w:ascii="宋体" w:hAnsi="宋体" w:eastAsia="宋体"/>
          <w:sz w:val="24"/>
          <w:lang w:val="en-US" w:eastAsia="zh-CN"/>
        </w:rPr>
      </w:pPr>
      <w:r>
        <w:rPr>
          <w:rFonts w:hint="eastAsia" w:ascii="宋体" w:hAnsi="宋体"/>
          <w:sz w:val="24"/>
        </w:rPr>
        <w:t xml:space="preserve"> 供货</w:t>
      </w:r>
      <w:r>
        <w:rPr>
          <w:rFonts w:hint="eastAsia" w:ascii="宋体" w:hAnsi="宋体"/>
          <w:sz w:val="24"/>
          <w:lang w:val="en-US" w:eastAsia="zh-CN"/>
        </w:rPr>
        <w:t>清单</w:t>
      </w:r>
    </w:p>
    <w:tbl>
      <w:tblPr>
        <w:tblStyle w:val="1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6"/>
        <w:gridCol w:w="1145"/>
        <w:gridCol w:w="1446"/>
        <w:gridCol w:w="1240"/>
        <w:gridCol w:w="1215"/>
        <w:gridCol w:w="15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类型</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规格/型号</w:t>
            </w:r>
            <w:r>
              <w:rPr>
                <w:rFonts w:hint="eastAsia" w:ascii="宋体" w:hAnsi="宋体" w:eastAsia="宋体" w:cs="宋体"/>
                <w:sz w:val="24"/>
                <w:szCs w:val="24"/>
                <w:lang w:val="en-US" w:eastAsia="zh-CN"/>
              </w:rPr>
              <w:t>(mm)</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暂估</w:t>
            </w: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片</w:t>
            </w:r>
            <w:r>
              <w:rPr>
                <w:rFonts w:hint="eastAsia" w:ascii="宋体" w:hAnsi="宋体" w:eastAsia="宋体" w:cs="宋体"/>
                <w:sz w:val="24"/>
                <w:szCs w:val="24"/>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含税单价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（元）</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小计（元）</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地面瓷砖</w:t>
            </w:r>
          </w:p>
        </w:tc>
        <w:tc>
          <w:tcPr>
            <w:tcW w:w="1145"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800*800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lang w:val="en-US" w:eastAsia="zh-CN"/>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地面瓷砖</w:t>
            </w:r>
          </w:p>
        </w:tc>
        <w:tc>
          <w:tcPr>
            <w:tcW w:w="114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600*600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lang w:val="en-US" w:eastAsia="zh-CN"/>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墙面瓷砖</w:t>
            </w:r>
          </w:p>
        </w:tc>
        <w:tc>
          <w:tcPr>
            <w:tcW w:w="114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300*600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32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美缝剂</w:t>
            </w:r>
          </w:p>
        </w:tc>
        <w:tc>
          <w:tcPr>
            <w:tcW w:w="1145" w:type="dxa"/>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144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包含人工安装费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57" w:type="dxa"/>
            <w:gridSpan w:val="6"/>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元</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全部货物供货完成，经双方确认后，</w:t>
      </w:r>
      <w:r>
        <w:rPr>
          <w:rFonts w:hint="eastAsia" w:ascii="宋体" w:hAnsi="宋体"/>
          <w:color w:val="auto"/>
          <w:sz w:val="24"/>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合同签订后，3日内支付乙方预付款：¥/元（大写：/元整），全部供货完成，经双方验收合格后，乙方开具全部货物合规增值税发票，甲方自收到发票并确认无误后7个工作日内予以支付扣除预付款后的剩余款项。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经双方商定，合同总价款</w:t>
      </w:r>
      <w:r>
        <w:rPr>
          <w:rFonts w:hint="eastAsia" w:ascii="宋体" w:hAnsi="宋体"/>
          <w:color w:val="auto"/>
          <w:sz w:val="24"/>
          <w:lang w:val="en-US" w:eastAsia="zh-CN"/>
        </w:rPr>
        <w:t>暂定</w:t>
      </w:r>
      <w:r>
        <w:rPr>
          <w:rFonts w:hint="eastAsia" w:ascii="宋体" w:hAnsi="宋体"/>
          <w:color w:val="auto"/>
          <w:sz w:val="24"/>
        </w:rPr>
        <w:t>为：（大写）</w:t>
      </w:r>
      <w:r>
        <w:rPr>
          <w:rFonts w:hint="eastAsia" w:ascii="宋体" w:hAnsi="宋体"/>
          <w:color w:val="auto"/>
          <w:sz w:val="24"/>
          <w:u w:val="single"/>
        </w:rPr>
        <w:t xml:space="preserve">                    </w:t>
      </w: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eastAsia" w:ascii="宋体" w:hAnsi="宋体"/>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pPr>
        <w:spacing w:line="360" w:lineRule="auto"/>
        <w:ind w:firstLine="482" w:firstLineChars="200"/>
        <w:jc w:val="left"/>
        <w:rPr>
          <w:rFonts w:hint="eastAsia" w:ascii="宋体" w:hAnsi="宋体"/>
          <w:b/>
          <w:color w:val="auto"/>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合同签订后10个日历天内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天前，乙方应</w:t>
      </w:r>
      <w:r>
        <w:rPr>
          <w:rFonts w:hint="eastAsia" w:ascii="宋体" w:hAnsi="宋体"/>
          <w:sz w:val="24"/>
          <w:lang w:val="en-US" w:eastAsia="zh-CN"/>
        </w:rPr>
        <w:t>以</w:t>
      </w:r>
      <w:r>
        <w:rPr>
          <w:rFonts w:hint="eastAsia" w:ascii="宋体" w:hAnsi="宋体"/>
          <w:sz w:val="24"/>
          <w:u w:val="single"/>
          <w:lang w:val="en-US" w:eastAsia="zh-CN"/>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b w:val="0"/>
          <w:i w:val="0"/>
          <w:caps w:val="0"/>
          <w:spacing w:val="0"/>
          <w:w w:val="100"/>
          <w:sz w:val="24"/>
          <w:szCs w:val="24"/>
          <w:u w:val="single" w:color="000000"/>
          <w:lang w:val="en-US" w:eastAsia="zh-CN"/>
        </w:rPr>
        <w:t>四川省攀枝花市东区三线大道北段118号2栋</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w:t>
      </w:r>
      <w:r>
        <w:rPr>
          <w:rFonts w:hint="eastAsia" w:ascii="宋体" w:hAnsi="宋体"/>
          <w:color w:val="auto"/>
          <w:sz w:val="24"/>
          <w:highlight w:val="none"/>
          <w:u w:val="single"/>
          <w:lang w:val="en-US" w:eastAsia="zh-CN"/>
        </w:rPr>
        <w:t>所有产品满足国家标准，监理及甲方验收要求</w:t>
      </w:r>
      <w:r>
        <w:rPr>
          <w:rFonts w:hint="eastAsia" w:ascii="宋体" w:hAnsi="宋体"/>
          <w:color w:val="auto"/>
          <w:sz w:val="24"/>
          <w:u w:val="single"/>
        </w:rPr>
        <w:t xml:space="preserve">                                                               </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w:t>
      </w:r>
      <w:r>
        <w:rPr>
          <w:rFonts w:hint="eastAsia" w:ascii="宋体" w:hAnsi="宋体"/>
          <w:sz w:val="24"/>
          <w:u w:val="single"/>
          <w:lang w:val="en-US" w:eastAsia="zh-CN"/>
        </w:rPr>
        <w:t>乙方负责车辆运输至项目现场并承担运费</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w:t>
      </w:r>
      <w:r>
        <w:rPr>
          <w:rFonts w:hint="eastAsia" w:ascii="宋体" w:hAnsi="宋体"/>
          <w:sz w:val="24"/>
          <w:u w:val="single"/>
          <w:lang w:val="en-US" w:eastAsia="zh-CN"/>
        </w:rPr>
        <w:t>货物到场后通知甲方现场验货</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w:t>
      </w:r>
      <w:r>
        <w:rPr>
          <w:rFonts w:hint="eastAsia" w:ascii="宋体" w:hAnsi="宋体"/>
          <w:sz w:val="24"/>
          <w:u w:val="single"/>
          <w:lang w:val="en-US" w:eastAsia="zh-CN"/>
        </w:rPr>
        <w:t>以供货产品国家相关政策规定的保质期为准</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u w:val="single"/>
          <w:lang w:val="en-US" w:eastAsia="zh-CN"/>
        </w:rPr>
        <w:t>到场</w:t>
      </w:r>
      <w:r>
        <w:rPr>
          <w:rFonts w:hint="eastAsia" w:ascii="宋体" w:hAnsi="宋体"/>
          <w:sz w:val="24"/>
          <w:u w:val="single"/>
        </w:rPr>
        <w:t xml:space="preserve">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九</w:t>
      </w:r>
      <w:r>
        <w:rPr>
          <w:rFonts w:hint="eastAsia" w:ascii="宋体" w:hAnsi="宋体"/>
          <w:b/>
          <w:sz w:val="24"/>
        </w:rPr>
        <w:t>、违约责任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天视为不能交货，或者有证据表明乙方不能交货，则甲方有权终止全部或未交货部分的合同，</w:t>
      </w:r>
      <w:r>
        <w:rPr>
          <w:rFonts w:hint="eastAsia" w:ascii="宋体" w:hAnsi="宋体"/>
          <w:sz w:val="24"/>
          <w:lang w:val="en-US" w:eastAsia="zh-CN"/>
        </w:rPr>
        <w:t>乙方向甲方双倍返还预付货款</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承担合同总价</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%/天计。逾期交货超过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lang w:val="en-US" w:eastAsia="zh-CN"/>
        </w:rPr>
        <w:t>40</w:t>
      </w:r>
      <w:r>
        <w:rPr>
          <w:rFonts w:hint="eastAsia" w:ascii="宋体" w:hAnsi="宋体"/>
          <w:sz w:val="24"/>
          <w:u w:val="single"/>
        </w:rPr>
        <w:t xml:space="preserve">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w:t>
      </w:r>
      <w:r>
        <w:rPr>
          <w:rFonts w:hint="eastAsia" w:ascii="宋体" w:hAnsi="宋体"/>
          <w:sz w:val="24"/>
          <w:u w:val="single"/>
          <w:lang w:val="en-US" w:eastAsia="zh-CN"/>
        </w:rPr>
        <w:t>肆</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w:t>
      </w:r>
      <w:r>
        <w:rPr>
          <w:rFonts w:hint="eastAsia" w:ascii="宋体" w:hAnsi="宋体"/>
          <w:sz w:val="24"/>
          <w:u w:val="single"/>
          <w:lang w:val="en-US" w:eastAsia="zh-CN"/>
        </w:rPr>
        <w:t>否</w:t>
      </w:r>
      <w:r>
        <w:rPr>
          <w:rFonts w:hint="eastAsia" w:ascii="宋体" w:hAnsi="宋体"/>
          <w:sz w:val="24"/>
          <w:u w:val="single"/>
        </w:rPr>
        <w:t xml:space="preserve">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lang w:val="en-US" w:eastAsia="zh-CN"/>
        </w:rPr>
        <w:t>经办人</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lang w:val="en-US" w:eastAsia="zh-CN"/>
        </w:rPr>
        <w:t>经办人</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BF125B"/>
    <w:rsid w:val="07E332FF"/>
    <w:rsid w:val="07FC173B"/>
    <w:rsid w:val="09C845C0"/>
    <w:rsid w:val="09DD1360"/>
    <w:rsid w:val="0BAE58C8"/>
    <w:rsid w:val="0E09534C"/>
    <w:rsid w:val="0E466A71"/>
    <w:rsid w:val="10B1300C"/>
    <w:rsid w:val="11556A4D"/>
    <w:rsid w:val="13482467"/>
    <w:rsid w:val="16813312"/>
    <w:rsid w:val="16D660B8"/>
    <w:rsid w:val="17681DB3"/>
    <w:rsid w:val="18661881"/>
    <w:rsid w:val="18A14941"/>
    <w:rsid w:val="18B97D11"/>
    <w:rsid w:val="1AAD7798"/>
    <w:rsid w:val="1ACB2D7F"/>
    <w:rsid w:val="1BA109F0"/>
    <w:rsid w:val="1C0138BF"/>
    <w:rsid w:val="1D6F437D"/>
    <w:rsid w:val="1D920A05"/>
    <w:rsid w:val="1F72088A"/>
    <w:rsid w:val="1FD55B0C"/>
    <w:rsid w:val="1FDD64D9"/>
    <w:rsid w:val="21F01AD7"/>
    <w:rsid w:val="225D1E12"/>
    <w:rsid w:val="22811BC0"/>
    <w:rsid w:val="228E6B57"/>
    <w:rsid w:val="250F2FA2"/>
    <w:rsid w:val="26E26AAC"/>
    <w:rsid w:val="2B147E30"/>
    <w:rsid w:val="2B8613F2"/>
    <w:rsid w:val="2C6F1319"/>
    <w:rsid w:val="2F032177"/>
    <w:rsid w:val="308C05DF"/>
    <w:rsid w:val="31606055"/>
    <w:rsid w:val="334B2928"/>
    <w:rsid w:val="36C5227C"/>
    <w:rsid w:val="371807ED"/>
    <w:rsid w:val="38820ABF"/>
    <w:rsid w:val="390F0422"/>
    <w:rsid w:val="39CF4C1E"/>
    <w:rsid w:val="3AB24230"/>
    <w:rsid w:val="3DB17760"/>
    <w:rsid w:val="3E1E4F67"/>
    <w:rsid w:val="3FDA0DE9"/>
    <w:rsid w:val="43290B76"/>
    <w:rsid w:val="43947AC8"/>
    <w:rsid w:val="44666B79"/>
    <w:rsid w:val="45D56FCB"/>
    <w:rsid w:val="460F771A"/>
    <w:rsid w:val="49B900A4"/>
    <w:rsid w:val="4B553B41"/>
    <w:rsid w:val="4BCD7E5B"/>
    <w:rsid w:val="4E8A6653"/>
    <w:rsid w:val="50FB3D29"/>
    <w:rsid w:val="526C3AC7"/>
    <w:rsid w:val="53A33E25"/>
    <w:rsid w:val="579D445B"/>
    <w:rsid w:val="59F120D7"/>
    <w:rsid w:val="5A897643"/>
    <w:rsid w:val="5AD84501"/>
    <w:rsid w:val="5B3E5B74"/>
    <w:rsid w:val="5B822014"/>
    <w:rsid w:val="5EE054CC"/>
    <w:rsid w:val="629C5896"/>
    <w:rsid w:val="62AB0677"/>
    <w:rsid w:val="638A4F49"/>
    <w:rsid w:val="65E7115D"/>
    <w:rsid w:val="689B2E29"/>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38">
    <w:name w:val="font91"/>
    <w:basedOn w:val="20"/>
    <w:qFormat/>
    <w:uiPriority w:val="0"/>
    <w:rPr>
      <w:rFonts w:hint="eastAsia" w:ascii="方正仿宋简体" w:hAnsi="方正仿宋简体" w:eastAsia="方正仿宋简体" w:cs="方正仿宋简体"/>
      <w:b/>
      <w:bCs/>
      <w:color w:val="FF0000"/>
      <w:sz w:val="24"/>
      <w:szCs w:val="24"/>
      <w:u w:val="none"/>
    </w:rPr>
  </w:style>
  <w:style w:type="character" w:customStyle="1" w:styleId="39">
    <w:name w:val="font41"/>
    <w:basedOn w:val="20"/>
    <w:qFormat/>
    <w:uiPriority w:val="0"/>
    <w:rPr>
      <w:rFonts w:hint="eastAsia" w:ascii="方正仿宋简体" w:hAnsi="方正仿宋简体" w:eastAsia="方正仿宋简体" w:cs="方正仿宋简体"/>
      <w:color w:val="000000"/>
      <w:sz w:val="22"/>
      <w:szCs w:val="22"/>
      <w:u w:val="none"/>
    </w:rPr>
  </w:style>
  <w:style w:type="character" w:customStyle="1" w:styleId="40">
    <w:name w:val="font151"/>
    <w:basedOn w:val="20"/>
    <w:qFormat/>
    <w:uiPriority w:val="0"/>
    <w:rPr>
      <w:rFonts w:hint="eastAsia" w:ascii="宋体" w:hAnsi="宋体" w:eastAsia="宋体" w:cs="宋体"/>
      <w:color w:val="000000"/>
      <w:sz w:val="22"/>
      <w:szCs w:val="22"/>
      <w:u w:val="none"/>
    </w:rPr>
  </w:style>
  <w:style w:type="character" w:customStyle="1" w:styleId="41">
    <w:name w:val="font112"/>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2">
    <w:name w:val="font81"/>
    <w:basedOn w:val="20"/>
    <w:qFormat/>
    <w:uiPriority w:val="0"/>
    <w:rPr>
      <w:rFonts w:hint="eastAsia" w:ascii="方正仿宋简体" w:hAnsi="方正仿宋简体" w:eastAsia="方正仿宋简体" w:cs="方正仿宋简体"/>
      <w:b/>
      <w:bCs/>
      <w:color w:val="000000"/>
      <w:sz w:val="20"/>
      <w:szCs w:val="20"/>
      <w:u w:val="none"/>
    </w:rPr>
  </w:style>
  <w:style w:type="character" w:customStyle="1" w:styleId="43">
    <w:name w:val="font132"/>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44">
    <w:name w:val="font111"/>
    <w:basedOn w:val="20"/>
    <w:uiPriority w:val="0"/>
    <w:rPr>
      <w:rFonts w:hint="eastAsia" w:ascii="方正仿宋简体" w:hAnsi="方正仿宋简体" w:eastAsia="方正仿宋简体" w:cs="方正仿宋简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18028</Words>
  <Characters>18807</Characters>
  <Lines>154</Lines>
  <Paragraphs>43</Paragraphs>
  <TotalTime>4</TotalTime>
  <ScaleCrop>false</ScaleCrop>
  <LinksUpToDate>false</LinksUpToDate>
  <CharactersWithSpaces>21887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2024-04-11T04:56:41Z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