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JS2024031     </w:t>
      </w:r>
    </w:p>
    <w:p>
      <w:pPr>
        <w:spacing w:line="360" w:lineRule="auto"/>
        <w:jc w:val="center"/>
        <w:rPr>
          <w:rFonts w:hint="eastAsia" w:ascii="Times New Roman" w:hAnsi="Times New Roman" w:cs="Times New Roman"/>
          <w:b w:val="0"/>
          <w:bCs/>
          <w:color w:val="auto"/>
          <w:sz w:val="52"/>
          <w:szCs w:val="52"/>
          <w:highlight w:val="none"/>
          <w:u w:val="single"/>
          <w:lang w:val="en-US" w:eastAsia="zh-CN"/>
        </w:rPr>
      </w:pPr>
      <w:r>
        <w:rPr>
          <w:rFonts w:hint="eastAsia" w:ascii="Times New Roman" w:hAnsi="Times New Roman" w:cs="Times New Roman"/>
          <w:b w:val="0"/>
          <w:bCs/>
          <w:color w:val="auto"/>
          <w:sz w:val="52"/>
          <w:szCs w:val="52"/>
          <w:highlight w:val="none"/>
          <w:u w:val="single"/>
          <w:lang w:val="en-US" w:eastAsia="zh-CN"/>
        </w:rPr>
        <w:t>国投大厦14-15层装修改造工程</w:t>
      </w:r>
    </w:p>
    <w:p>
      <w:pPr>
        <w:spacing w:line="360" w:lineRule="auto"/>
        <w:jc w:val="center"/>
        <w:rPr>
          <w:rFonts w:hint="default"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cs="Times New Roman"/>
          <w:b w:val="0"/>
          <w:bCs/>
          <w:color w:val="auto"/>
          <w:sz w:val="52"/>
          <w:szCs w:val="52"/>
          <w:highlight w:val="none"/>
          <w:u w:val="single"/>
          <w:lang w:val="en-US" w:eastAsia="zh-CN"/>
        </w:rPr>
        <w:t>窗帘采购</w:t>
      </w:r>
      <w:r>
        <w:rPr>
          <w:rFonts w:hint="eastAsia" w:ascii="Times New Roman" w:hAnsi="Times New Roman" w:eastAsia="宋体" w:cs="Times New Roman"/>
          <w:b w:val="0"/>
          <w:bCs/>
          <w:color w:val="auto"/>
          <w:sz w:val="52"/>
          <w:szCs w:val="52"/>
          <w:highlight w:val="none"/>
          <w:u w:val="single"/>
          <w:lang w:val="en-US" w:eastAsia="zh-CN"/>
        </w:rPr>
        <w:t>项目</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eastAsia" w:ascii="Times New Roman" w:hAnsi="Times New Roman" w:eastAsia="宋体"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及</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11"/>
        <w:rPr>
          <w:rFonts w:hint="default"/>
          <w:color w:val="auto"/>
          <w:highlight w:val="none"/>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攀枝花金沙产业投资有限公司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48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3</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8"/>
        <w:tabs>
          <w:tab w:val="right" w:leader="dot" w:pos="840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1"/>
      <w:bookmarkStart w:id="1" w:name="_Hlt96805642"/>
      <w:r>
        <w:rPr>
          <w:rStyle w:val="27"/>
          <w:rFonts w:hint="eastAsia" w:ascii="Times New Roman" w:hAnsi="Times New Roman" w:cs="Times New Roman"/>
          <w:color w:val="auto"/>
          <w:sz w:val="28"/>
          <w:szCs w:val="28"/>
          <w:highlight w:val="none"/>
          <w:lang w:eastAsia="zh-CN"/>
        </w:rPr>
        <w:t>询价资格预审</w:t>
      </w:r>
      <w:bookmarkEnd w:id="0"/>
      <w:bookmarkEnd w:id="1"/>
      <w:r>
        <w:rPr>
          <w:rStyle w:val="27"/>
          <w:rFonts w:hint="eastAsia" w:ascii="Times New Roman" w:hAnsi="Times New Roman" w:cs="Times New Roman"/>
          <w:color w:val="auto"/>
          <w:sz w:val="28"/>
          <w:szCs w:val="28"/>
          <w:highlight w:val="none"/>
          <w:lang w:val="en-US" w:eastAsia="zh-CN"/>
        </w:rPr>
        <w:t>公告</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- 7 -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8"/>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29</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21"/>
        <w:rPr>
          <w:rFonts w:hint="eastAsia" w:ascii="Times New Roman" w:hAnsi="Times New Roman" w:eastAsia="宋体" w:cs="Times New Roman"/>
          <w:color w:val="auto"/>
          <w:highlight w:val="none"/>
          <w:lang w:val="en-US" w:eastAsia="zh-CN"/>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第一章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eastAsia"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攀枝花金沙产业投资有限公司</w:t>
      </w:r>
      <w:r>
        <w:rPr>
          <w:rFonts w:hint="eastAsia"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购人）拟对</w:t>
      </w:r>
      <w:r>
        <w:rPr>
          <w:rFonts w:hint="eastAsia" w:ascii="Times New Roman" w:hAnsi="Times New Roman" w:cs="Times New Roman"/>
          <w:bCs/>
          <w:color w:val="auto"/>
          <w:sz w:val="24"/>
          <w:highlight w:val="none"/>
          <w:u w:val="single"/>
          <w:lang w:val="en-US" w:eastAsia="zh-CN"/>
        </w:rPr>
        <w:t xml:space="preserve"> </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国投大厦14-15层装修改造工程</w:t>
      </w:r>
      <w:r>
        <w:rPr>
          <w:rFonts w:hint="eastAsia" w:ascii="Times New Roman" w:hAnsi="Times New Roman" w:cs="Times New Roman"/>
          <w:b/>
          <w:bCs w:val="0"/>
          <w:color w:val="auto"/>
          <w:sz w:val="24"/>
          <w:highlight w:val="none"/>
          <w:u w:val="single"/>
          <w:lang w:val="en-US" w:eastAsia="zh-CN"/>
        </w:rPr>
        <w:t>窗帘采购项目</w:t>
      </w:r>
      <w:r>
        <w:rPr>
          <w:rFonts w:hint="eastAsia" w:ascii="Times New Roman" w:hAnsi="Times New Roman" w:cs="Times New Roman"/>
          <w:bCs/>
          <w:color w:val="auto"/>
          <w:sz w:val="24"/>
          <w:highlight w:val="none"/>
          <w:u w:val="single"/>
          <w:lang w:val="en-US" w:eastAsia="zh-CN"/>
        </w:rPr>
        <w:t xml:space="preserve">  </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w:t>
      </w:r>
      <w:r>
        <w:rPr>
          <w:rFonts w:hint="eastAsia" w:ascii="Times New Roman" w:hAnsi="Times New Roman" w:cs="Times New Roman"/>
          <w:color w:val="auto"/>
          <w:sz w:val="24"/>
          <w:szCs w:val="32"/>
          <w:highlight w:val="none"/>
          <w:lang w:val="en-US" w:eastAsia="zh-CN"/>
        </w:rPr>
        <w:t>公开</w:t>
      </w:r>
      <w:r>
        <w:rPr>
          <w:rFonts w:hint="default" w:ascii="Times New Roman" w:hAnsi="Times New Roman" w:cs="Times New Roman"/>
          <w:color w:val="auto"/>
          <w:sz w:val="24"/>
          <w:szCs w:val="32"/>
          <w:highlight w:val="none"/>
        </w:rPr>
        <w:t>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color w:val="auto"/>
          <w:sz w:val="24"/>
          <w:highlight w:val="none"/>
          <w:u w:val="single"/>
          <w:lang w:val="en-US" w:eastAsia="zh-CN"/>
        </w:rPr>
        <w:t>JS2024031</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cs="Times New Roman"/>
          <w:bCs/>
          <w:color w:val="auto"/>
          <w:sz w:val="24"/>
          <w:highlight w:val="none"/>
          <w:u w:val="single"/>
          <w:lang w:val="en-US" w:eastAsia="zh-CN"/>
        </w:rPr>
        <w:t xml:space="preserve"> </w:t>
      </w:r>
      <w:r>
        <w:rPr>
          <w:rFonts w:hint="eastAsia" w:ascii="Times New Roman" w:hAnsi="Times New Roman" w:eastAsia="宋体" w:cs="Times New Roman"/>
          <w:bCs/>
          <w:color w:val="auto"/>
          <w:sz w:val="24"/>
          <w:highlight w:val="none"/>
          <w:u w:val="single"/>
          <w:lang w:val="en-US" w:eastAsia="zh-CN"/>
        </w:rPr>
        <w:t>国投大厦14-15层装修改造工程</w:t>
      </w:r>
      <w:r>
        <w:rPr>
          <w:rFonts w:hint="eastAsia" w:ascii="Times New Roman" w:hAnsi="Times New Roman" w:cs="Times New Roman"/>
          <w:bCs/>
          <w:color w:val="auto"/>
          <w:sz w:val="24"/>
          <w:highlight w:val="none"/>
          <w:u w:val="single"/>
          <w:lang w:val="en-US" w:eastAsia="zh-CN"/>
        </w:rPr>
        <w:t xml:space="preserve">窗帘采购项目 </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eastAsia"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攀枝花金沙产业投资有限公司</w:t>
      </w:r>
      <w:r>
        <w:rPr>
          <w:rFonts w:hint="eastAsia"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w:t>
      </w:r>
      <w:r>
        <w:rPr>
          <w:rFonts w:hint="default" w:ascii="Times New Roman" w:hAnsi="Times New Roman" w:cs="Times New Roman"/>
          <w:b w:val="0"/>
          <w:bCs w:val="0"/>
          <w:color w:val="auto"/>
          <w:sz w:val="24"/>
          <w:szCs w:val="28"/>
          <w:highlight w:val="none"/>
          <w:u w:val="none"/>
        </w:rPr>
        <w:t>攀枝花市东区三线大道北段118号2栋</w:t>
      </w:r>
      <w:r>
        <w:rPr>
          <w:rFonts w:hint="eastAsia" w:ascii="Times New Roman" w:hAnsi="Times New Roman" w:cs="Times New Roman"/>
          <w:b w:val="0"/>
          <w:bCs w:val="0"/>
          <w:color w:val="auto"/>
          <w:sz w:val="24"/>
          <w:szCs w:val="28"/>
          <w:highlight w:val="none"/>
          <w:u w:val="none"/>
          <w:lang w:val="en-US" w:eastAsia="zh-CN"/>
        </w:rPr>
        <w:t>14-15层</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cs="Times New Roman"/>
          <w:color w:val="auto"/>
          <w:spacing w:val="-4"/>
          <w:sz w:val="24"/>
          <w:highlight w:val="none"/>
          <w:lang w:val="en-US" w:eastAsia="zh-CN"/>
        </w:rPr>
        <w:t>窗帘、辅材等供应材料</w:t>
      </w:r>
      <w:r>
        <w:rPr>
          <w:rFonts w:hint="eastAsia" w:ascii="Times New Roman" w:hAnsi="Times New Roman" w:eastAsia="宋体" w:cs="Times New Roman"/>
          <w:color w:val="auto"/>
          <w:spacing w:val="-4"/>
          <w:sz w:val="24"/>
          <w:highlight w:val="none"/>
          <w:lang w:val="en-US" w:eastAsia="zh-CN"/>
        </w:rPr>
        <w:t>质量</w:t>
      </w:r>
      <w:r>
        <w:rPr>
          <w:rFonts w:hint="eastAsia" w:ascii="Times New Roman" w:hAnsi="Times New Roman" w:cs="Times New Roman"/>
          <w:color w:val="auto"/>
          <w:spacing w:val="-4"/>
          <w:sz w:val="24"/>
          <w:highlight w:val="none"/>
          <w:lang w:val="en-US" w:eastAsia="zh-CN"/>
        </w:rPr>
        <w:t>及安装</w:t>
      </w:r>
      <w:r>
        <w:rPr>
          <w:rFonts w:hint="eastAsia" w:ascii="Times New Roman" w:hAnsi="Times New Roman" w:eastAsia="宋体" w:cs="Times New Roman"/>
          <w:color w:val="auto"/>
          <w:spacing w:val="-4"/>
          <w:sz w:val="24"/>
          <w:highlight w:val="none"/>
          <w:lang w:val="en-US" w:eastAsia="zh-CN"/>
        </w:rPr>
        <w:t>达到国家及行业相关规范验收合格标准</w:t>
      </w:r>
      <w:r>
        <w:rPr>
          <w:rFonts w:hint="eastAsia"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w:t>
      </w:r>
      <w:r>
        <w:rPr>
          <w:rFonts w:hint="eastAsia" w:ascii="Times New Roman" w:hAnsi="Times New Roman" w:cs="Times New Roman"/>
          <w:color w:val="auto"/>
          <w:sz w:val="24"/>
          <w:highlight w:val="none"/>
          <w:lang w:val="en-US" w:eastAsia="zh-CN"/>
        </w:rPr>
        <w:t>承担民事责任的能力</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202</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年1月1日以来），在经营活动中没有重大违法记录；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p>
      <w:pPr>
        <w:pStyle w:val="2"/>
        <w:spacing w:line="240" w:lineRule="auto"/>
        <w:ind w:left="0" w:leftChars="0"/>
        <w:jc w:val="left"/>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六、窗帘、内沙、轨道等材料参数要求如下：</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1.窗帘布料</w:t>
      </w:r>
      <w:r>
        <w:rPr>
          <w:rFonts w:hint="default" w:ascii="Times New Roman" w:hAnsi="Times New Roman" w:eastAsia="宋体" w:cs="Times New Roman"/>
          <w:color w:val="auto"/>
          <w:kern w:val="2"/>
          <w:sz w:val="24"/>
          <w:szCs w:val="24"/>
          <w:highlight w:val="none"/>
          <w:lang w:val="en-US" w:eastAsia="zh-CN" w:bidi="ar-SA"/>
        </w:rPr>
        <w:t>参数：</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面料：遮光</w:t>
      </w:r>
      <w:r>
        <w:rPr>
          <w:rFonts w:hint="eastAsia" w:ascii="Times New Roman" w:hAnsi="Times New Roman" w:eastAsia="宋体" w:cs="Times New Roman"/>
          <w:color w:val="auto"/>
          <w:kern w:val="2"/>
          <w:sz w:val="24"/>
          <w:szCs w:val="24"/>
          <w:highlight w:val="none"/>
          <w:lang w:val="en-US" w:eastAsia="zh-CN" w:bidi="ar-SA"/>
        </w:rPr>
        <w:t>窗帘</w:t>
      </w:r>
      <w:r>
        <w:rPr>
          <w:rFonts w:hint="default" w:ascii="Times New Roman" w:hAnsi="Times New Roman" w:eastAsia="宋体" w:cs="Times New Roman"/>
          <w:color w:val="auto"/>
          <w:kern w:val="2"/>
          <w:sz w:val="24"/>
          <w:szCs w:val="24"/>
          <w:highlight w:val="none"/>
          <w:lang w:val="en-US" w:eastAsia="zh-CN" w:bidi="ar-SA"/>
        </w:rPr>
        <w:t>布</w:t>
      </w:r>
      <w:r>
        <w:rPr>
          <w:rFonts w:hint="eastAsia" w:ascii="Times New Roman" w:hAnsi="Times New Roman" w:eastAsia="宋体" w:cs="Times New Roman"/>
          <w:color w:val="auto"/>
          <w:kern w:val="2"/>
          <w:sz w:val="24"/>
          <w:szCs w:val="24"/>
          <w:highlight w:val="none"/>
          <w:lang w:val="en-US" w:eastAsia="zh-CN" w:bidi="ar-SA"/>
        </w:rPr>
        <w:t>、卷帘布</w:t>
      </w:r>
      <w:r>
        <w:rPr>
          <w:rFonts w:hint="default" w:ascii="Times New Roman" w:hAnsi="Times New Roman" w:eastAsia="宋体" w:cs="Times New Roman"/>
          <w:color w:val="auto"/>
          <w:kern w:val="2"/>
          <w:sz w:val="24"/>
          <w:szCs w:val="24"/>
          <w:highlight w:val="none"/>
          <w:lang w:val="en-US" w:eastAsia="zh-CN" w:bidi="ar-SA"/>
        </w:rPr>
        <w:t xml:space="preserve"> 幅宽2.8</w:t>
      </w:r>
      <w:r>
        <w:rPr>
          <w:rFonts w:hint="eastAsia"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lang w:val="en-US" w:eastAsia="zh-CN" w:bidi="ar-SA"/>
        </w:rPr>
        <w:t>克重</w:t>
      </w:r>
      <w:r>
        <w:rPr>
          <w:rFonts w:hint="eastAsia" w:ascii="Times New Roman" w:hAnsi="Times New Roman" w:eastAsia="宋体" w:cs="Times New Roman"/>
          <w:color w:val="auto"/>
          <w:kern w:val="2"/>
          <w:sz w:val="24"/>
          <w:szCs w:val="24"/>
          <w:highlight w:val="none"/>
          <w:lang w:val="en-US" w:eastAsia="zh-CN" w:bidi="ar-SA"/>
        </w:rPr>
        <w:t>≥800</w:t>
      </w:r>
      <w:r>
        <w:rPr>
          <w:rFonts w:hint="default" w:ascii="Times New Roman" w:hAnsi="Times New Roman" w:eastAsia="宋体" w:cs="Times New Roman"/>
          <w:color w:val="auto"/>
          <w:kern w:val="2"/>
          <w:sz w:val="24"/>
          <w:szCs w:val="24"/>
          <w:highlight w:val="none"/>
          <w:lang w:val="en-US" w:eastAsia="zh-CN" w:bidi="ar-SA"/>
        </w:rPr>
        <w:t>克/m</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面料</w:t>
      </w:r>
      <w:r>
        <w:rPr>
          <w:rFonts w:hint="default" w:ascii="Times New Roman" w:hAnsi="Times New Roman" w:eastAsia="宋体" w:cs="Times New Roman"/>
          <w:color w:val="auto"/>
          <w:kern w:val="2"/>
          <w:sz w:val="24"/>
          <w:szCs w:val="24"/>
          <w:highlight w:val="none"/>
          <w:lang w:val="en-US" w:eastAsia="zh-CN" w:bidi="ar-SA"/>
        </w:rPr>
        <w:t>防晒：防晒性能符合国</w:t>
      </w:r>
      <w:r>
        <w:rPr>
          <w:rFonts w:hint="eastAsia" w:ascii="Times New Roman" w:hAnsi="Times New Roman" w:eastAsia="宋体" w:cs="Times New Roman"/>
          <w:color w:val="auto"/>
          <w:kern w:val="2"/>
          <w:sz w:val="24"/>
          <w:szCs w:val="24"/>
          <w:highlight w:val="none"/>
          <w:lang w:val="en-US" w:eastAsia="zh-CN" w:bidi="ar-SA"/>
        </w:rPr>
        <w:t>家</w:t>
      </w:r>
      <w:r>
        <w:rPr>
          <w:rFonts w:hint="default" w:ascii="Times New Roman" w:hAnsi="Times New Roman" w:eastAsia="宋体" w:cs="Times New Roman"/>
          <w:color w:val="auto"/>
          <w:kern w:val="2"/>
          <w:sz w:val="24"/>
          <w:szCs w:val="24"/>
          <w:highlight w:val="none"/>
          <w:lang w:val="en-US" w:eastAsia="zh-CN" w:bidi="ar-SA"/>
        </w:rPr>
        <w:t>标准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提供相关部门的检验报告。</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布帘PH值：4.0</w:t>
      </w:r>
      <w:r>
        <w:rPr>
          <w:rFonts w:hint="eastAsia" w:ascii="Times New Roman" w:hAnsi="Times New Roman" w:eastAsia="宋体" w:cs="Times New Roman"/>
          <w:color w:val="auto"/>
          <w:kern w:val="2"/>
          <w:sz w:val="24"/>
          <w:szCs w:val="24"/>
          <w:highlight w:val="none"/>
          <w:lang w:val="en-US" w:eastAsia="zh-CN" w:bidi="ar-SA"/>
        </w:rPr>
        <w:t>-8.0。</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甲醛含量：</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300mg/kg</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提供相关部门的检验报告</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防紫外线性能</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UPE值＜</w:t>
      </w: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0，T(UVA)AV(%)＜5</w:t>
      </w:r>
      <w:r>
        <w:rPr>
          <w:rFonts w:hint="eastAsia"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轨道</w:t>
      </w:r>
      <w:r>
        <w:rPr>
          <w:rFonts w:hint="eastAsia" w:ascii="Times New Roman" w:hAnsi="Times New Roman" w:eastAsia="宋体" w:cs="Times New Roman"/>
          <w:color w:val="auto"/>
          <w:kern w:val="2"/>
          <w:sz w:val="24"/>
          <w:szCs w:val="24"/>
          <w:highlight w:val="none"/>
          <w:lang w:val="en-US" w:eastAsia="zh-CN" w:bidi="ar-SA"/>
        </w:rPr>
        <w:t>参数</w:t>
      </w:r>
      <w:r>
        <w:rPr>
          <w:rFonts w:hint="default" w:ascii="Times New Roman" w:hAnsi="Times New Roman" w:eastAsia="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240" w:lineRule="auto"/>
        <w:ind w:left="0" w:left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铝合金静音直轨，壁厚</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0.80mm，承重量</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200g/m</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right="0" w:rightChars="0" w:firstLine="619" w:firstLineChars="258"/>
        <w:jc w:val="left"/>
        <w:textAlignment w:val="auto"/>
        <w:rPr>
          <w:rFonts w:hint="default"/>
          <w:color w:val="auto"/>
          <w:lang w:val="en-US" w:eastAsia="zh-CN"/>
        </w:rPr>
      </w:pPr>
      <w:r>
        <w:rPr>
          <w:rFonts w:hint="eastAsia" w:ascii="Times New Roman" w:hAnsi="Times New Roman"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.参与本项目询价时，拟用于本项目的窗帘布料、轨道需附带产品检测报告及样品(注：本项资料除样品，其他资料需装入响应文件中)</w:t>
      </w:r>
      <w:r>
        <w:rPr>
          <w:rFonts w:hint="eastAsia" w:ascii="Times New Roman" w:hAnsi="Times New Roman" w:cs="Times New Roman"/>
          <w:color w:val="auto"/>
          <w:kern w:val="2"/>
          <w:sz w:val="24"/>
          <w:szCs w:val="24"/>
          <w:highlight w:val="none"/>
          <w:lang w:val="en-US" w:eastAsia="zh-CN" w:bidi="ar-SA"/>
        </w:rPr>
        <w:t>。</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七</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文件自</w:t>
      </w:r>
      <w:r>
        <w:rPr>
          <w:rFonts w:hint="default" w:ascii="Times New Roman" w:hAnsi="Times New Roman" w:cs="Times New Roman"/>
          <w:color w:val="auto"/>
          <w:sz w:val="24"/>
          <w:highlight w:val="none"/>
          <w:u w:val="single"/>
        </w:rPr>
        <w:t>202</w:t>
      </w:r>
      <w:r>
        <w:rPr>
          <w:rFonts w:hint="eastAsia" w:ascii="Times New Roman" w:hAnsi="Times New Roman" w:cs="Times New Roman"/>
          <w:color w:val="auto"/>
          <w:sz w:val="24"/>
          <w:highlight w:val="none"/>
          <w:u w:val="single"/>
          <w:lang w:val="en-US" w:eastAsia="zh-CN"/>
        </w:rPr>
        <w:t>4</w:t>
      </w:r>
      <w:r>
        <w:rPr>
          <w:rFonts w:hint="default" w:ascii="Times New Roman" w:hAnsi="Times New Roman" w:cs="Times New Roman"/>
          <w:color w:val="auto"/>
          <w:sz w:val="24"/>
          <w:highlight w:val="none"/>
          <w:u w:val="single"/>
        </w:rPr>
        <w:t>年</w:t>
      </w:r>
      <w:r>
        <w:rPr>
          <w:rFonts w:hint="eastAsia" w:ascii="Times New Roman" w:hAnsi="Times New Roman" w:cs="Times New Roman"/>
          <w:color w:val="auto"/>
          <w:sz w:val="24"/>
          <w:highlight w:val="none"/>
          <w:u w:val="single"/>
          <w:lang w:val="en-US" w:eastAsia="zh-CN"/>
        </w:rPr>
        <w:t>3</w:t>
      </w:r>
      <w:r>
        <w:rPr>
          <w:rFonts w:hint="default" w:ascii="Times New Roman" w:hAnsi="Times New Roman" w:cs="Times New Roman"/>
          <w:color w:val="auto"/>
          <w:sz w:val="24"/>
          <w:highlight w:val="none"/>
          <w:u w:val="single"/>
          <w:lang w:val="en-US" w:eastAsia="zh-CN"/>
        </w:rPr>
        <w:t>月</w:t>
      </w:r>
      <w:r>
        <w:rPr>
          <w:rFonts w:hint="eastAsia" w:ascii="Times New Roman" w:hAnsi="Times New Roman" w:cs="Times New Roman"/>
          <w:color w:val="auto"/>
          <w:sz w:val="24"/>
          <w:highlight w:val="none"/>
          <w:u w:val="single"/>
          <w:lang w:val="en-US" w:eastAsia="zh-CN"/>
        </w:rPr>
        <w:t>28</w:t>
      </w:r>
      <w:r>
        <w:rPr>
          <w:rFonts w:hint="default" w:ascii="Times New Roman" w:hAnsi="Times New Roman" w:cs="Times New Roman"/>
          <w:color w:val="auto"/>
          <w:sz w:val="24"/>
          <w:highlight w:val="none"/>
          <w:u w:val="single"/>
        </w:rPr>
        <w:t>日</w:t>
      </w:r>
      <w:r>
        <w:rPr>
          <w:rFonts w:hint="eastAsia" w:ascii="Times New Roman" w:hAnsi="Times New Roman" w:cs="Times New Roman"/>
          <w:color w:val="auto"/>
          <w:sz w:val="24"/>
          <w:highlight w:val="none"/>
          <w:u w:val="single"/>
          <w:lang w:val="en-US" w:eastAsia="zh-CN"/>
        </w:rPr>
        <w:t>10</w:t>
      </w:r>
      <w:r>
        <w:rPr>
          <w:rFonts w:hint="default"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lang w:val="en-US" w:eastAsia="zh-CN"/>
        </w:rPr>
        <w:t>0</w:t>
      </w:r>
      <w:r>
        <w:rPr>
          <w:rFonts w:hint="default" w:ascii="Times New Roman" w:hAnsi="Times New Roman" w:cs="Times New Roman"/>
          <w:color w:val="auto"/>
          <w:sz w:val="24"/>
          <w:highlight w:val="none"/>
          <w:u w:val="single"/>
        </w:rPr>
        <w:t>0至202</w:t>
      </w:r>
      <w:r>
        <w:rPr>
          <w:rFonts w:hint="eastAsia" w:ascii="Times New Roman" w:hAnsi="Times New Roman" w:cs="Times New Roman"/>
          <w:color w:val="auto"/>
          <w:sz w:val="24"/>
          <w:highlight w:val="none"/>
          <w:u w:val="single"/>
          <w:lang w:val="en-US" w:eastAsia="zh-CN"/>
        </w:rPr>
        <w:t>4</w:t>
      </w:r>
      <w:r>
        <w:rPr>
          <w:rFonts w:hint="default" w:ascii="Times New Roman" w:hAnsi="Times New Roman" w:cs="Times New Roman"/>
          <w:color w:val="auto"/>
          <w:sz w:val="24"/>
          <w:highlight w:val="none"/>
          <w:u w:val="single"/>
        </w:rPr>
        <w:t>年</w:t>
      </w:r>
      <w:r>
        <w:rPr>
          <w:rFonts w:hint="eastAsia" w:ascii="Times New Roman" w:hAnsi="Times New Roman" w:cs="Times New Roman"/>
          <w:color w:val="auto"/>
          <w:sz w:val="24"/>
          <w:highlight w:val="none"/>
          <w:u w:val="single"/>
          <w:lang w:val="en-US" w:eastAsia="zh-CN"/>
        </w:rPr>
        <w:t>3</w:t>
      </w:r>
      <w:r>
        <w:rPr>
          <w:rFonts w:hint="default" w:ascii="Times New Roman" w:hAnsi="Times New Roman" w:cs="Times New Roman"/>
          <w:color w:val="auto"/>
          <w:sz w:val="24"/>
          <w:highlight w:val="none"/>
          <w:u w:val="single"/>
          <w:lang w:val="en-US" w:eastAsia="zh-CN"/>
        </w:rPr>
        <w:t>月</w:t>
      </w:r>
      <w:r>
        <w:rPr>
          <w:rFonts w:hint="eastAsia" w:ascii="Times New Roman" w:hAnsi="Times New Roman" w:cs="Times New Roman"/>
          <w:color w:val="auto"/>
          <w:sz w:val="24"/>
          <w:highlight w:val="none"/>
          <w:u w:val="single"/>
          <w:lang w:val="en-US" w:eastAsia="zh-CN"/>
        </w:rPr>
        <w:t>29日17:0</w:t>
      </w:r>
      <w:r>
        <w:rPr>
          <w:rFonts w:hint="default" w:ascii="Times New Roman" w:hAnsi="Times New Roman" w:cs="Times New Roman"/>
          <w:color w:val="auto"/>
          <w:sz w:val="24"/>
          <w:highlight w:val="none"/>
          <w:u w:val="single"/>
        </w:rPr>
        <w:t>0</w:t>
      </w:r>
      <w:r>
        <w:rPr>
          <w:rFonts w:hint="default" w:ascii="Times New Roman" w:hAnsi="Times New Roman" w:cs="Times New Roman"/>
          <w:color w:val="auto"/>
          <w:sz w:val="24"/>
          <w:szCs w:val="28"/>
          <w:highlight w:val="none"/>
        </w:rPr>
        <w:t>（北京时间）</w:t>
      </w:r>
      <w:r>
        <w:rPr>
          <w:rFonts w:hint="default" w:ascii="Times New Roman" w:hAnsi="Times New Roman" w:cs="Times New Roman"/>
          <w:color w:val="auto"/>
          <w:sz w:val="24"/>
          <w:highlight w:val="none"/>
        </w:rPr>
        <w:t>在</w:t>
      </w:r>
      <w:r>
        <w:rPr>
          <w:rFonts w:hint="eastAsia" w:ascii="Times New Roman" w:hAnsi="Times New Roman" w:eastAsia="宋体" w:cs="Times New Roman"/>
          <w:color w:val="auto"/>
          <w:sz w:val="24"/>
          <w:highlight w:val="none"/>
          <w:u w:val="single"/>
          <w:lang w:val="en-US" w:eastAsia="zh-CN"/>
        </w:rPr>
        <w:t>攀</w:t>
      </w:r>
      <w:r>
        <w:rPr>
          <w:rFonts w:hint="eastAsia" w:ascii="Times New Roman" w:hAnsi="Times New Roman" w:cs="Times New Roman"/>
          <w:color w:val="auto"/>
          <w:sz w:val="24"/>
          <w:highlight w:val="none"/>
          <w:u w:val="single"/>
          <w:lang w:val="en-US" w:eastAsia="zh-CN"/>
        </w:rPr>
        <w:t>枝花市国有投资（集团）有限责任公司官网</w:t>
      </w:r>
      <w:r>
        <w:rPr>
          <w:rFonts w:hint="default" w:ascii="Times New Roman" w:hAnsi="Times New Roman" w:cs="Times New Roman"/>
          <w:color w:val="auto"/>
          <w:sz w:val="24"/>
          <w:highlight w:val="none"/>
          <w:u w:val="single"/>
        </w:rPr>
        <w:t>（http://www.pzhguotou.com）</w:t>
      </w:r>
      <w:r>
        <w:rPr>
          <w:rFonts w:hint="default" w:ascii="Times New Roman" w:hAnsi="Times New Roman" w:cs="Times New Roman"/>
          <w:color w:val="auto"/>
          <w:sz w:val="24"/>
          <w:szCs w:val="28"/>
          <w:highlight w:val="none"/>
          <w:u w:val="single"/>
        </w:rPr>
        <w:t>，</w:t>
      </w:r>
      <w:r>
        <w:rPr>
          <w:rFonts w:hint="default" w:ascii="Times New Roman" w:hAnsi="Times New Roman" w:cs="Times New Roman"/>
          <w:color w:val="auto"/>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18"/>
          <w:highlight w:val="none"/>
        </w:rPr>
        <w:t>本项目</w:t>
      </w:r>
      <w:r>
        <w:rPr>
          <w:rFonts w:hint="eastAsia" w:ascii="Times New Roman" w:hAnsi="Times New Roman" w:cs="Times New Roman"/>
          <w:color w:val="auto"/>
          <w:sz w:val="24"/>
          <w:szCs w:val="18"/>
          <w:highlight w:val="none"/>
          <w:lang w:eastAsia="zh-CN"/>
        </w:rPr>
        <w:t>询价资格预审</w:t>
      </w:r>
      <w:r>
        <w:rPr>
          <w:rFonts w:hint="default" w:ascii="Times New Roman" w:hAnsi="Times New Roman" w:cs="Times New Roman"/>
          <w:color w:val="auto"/>
          <w:sz w:val="24"/>
          <w:szCs w:val="18"/>
          <w:highlight w:val="none"/>
        </w:rPr>
        <w:t>文件费用：</w:t>
      </w:r>
      <w:r>
        <w:rPr>
          <w:rFonts w:hint="eastAsia" w:ascii="Times New Roman" w:hAnsi="Times New Roman" w:cs="Times New Roman"/>
          <w:color w:val="auto"/>
          <w:sz w:val="24"/>
          <w:highlight w:val="none"/>
          <w:lang w:val="en-US" w:eastAsia="zh-CN"/>
        </w:rPr>
        <w:t>本次不收取资格预审文件费用</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八</w:t>
      </w:r>
      <w:r>
        <w:rPr>
          <w:rFonts w:hint="default" w:ascii="Times New Roman" w:hAnsi="Times New Roman" w:cs="Times New Roman"/>
          <w:b/>
          <w:color w:val="auto"/>
          <w:sz w:val="24"/>
          <w:szCs w:val="28"/>
          <w:highlight w:val="none"/>
        </w:rPr>
        <w:t>、递交</w:t>
      </w:r>
      <w:r>
        <w:rPr>
          <w:rFonts w:hint="eastAsia" w:ascii="Times New Roman" w:hAnsi="Times New Roman" w:cs="Times New Roman"/>
          <w:b/>
          <w:color w:val="auto"/>
          <w:sz w:val="24"/>
          <w:szCs w:val="28"/>
          <w:highlight w:val="none"/>
          <w:lang w:eastAsia="zh-CN"/>
        </w:rPr>
        <w:t>资格预审申请文件</w:t>
      </w:r>
      <w:r>
        <w:rPr>
          <w:rFonts w:hint="default" w:ascii="Times New Roman" w:hAnsi="Times New Roman" w:cs="Times New Roman"/>
          <w:b/>
          <w:color w:val="auto"/>
          <w:sz w:val="24"/>
          <w:highlight w:val="none"/>
        </w:rPr>
        <w:t>截止时间</w:t>
      </w:r>
      <w:r>
        <w:rPr>
          <w:rFonts w:hint="default" w:ascii="Times New Roman" w:hAnsi="Times New Roman" w:cs="Times New Roman"/>
          <w:b/>
          <w:color w:val="auto"/>
          <w:sz w:val="24"/>
          <w:highlight w:val="none"/>
        </w:rPr>
        <w:t>：</w:t>
      </w:r>
      <w:r>
        <w:rPr>
          <w:rFonts w:hint="default" w:ascii="Times New Roman" w:hAnsi="Times New Roman" w:cs="Times New Roman"/>
          <w:bCs/>
          <w:color w:val="auto"/>
          <w:sz w:val="24"/>
          <w:highlight w:val="none"/>
          <w:u w:val="single"/>
          <w:lang w:val="en-US" w:eastAsia="zh-CN"/>
        </w:rPr>
        <w:t>202</w:t>
      </w:r>
      <w:r>
        <w:rPr>
          <w:rFonts w:hint="eastAsia" w:ascii="Times New Roman" w:hAnsi="Times New Roman" w:cs="Times New Roman"/>
          <w:bCs/>
          <w:color w:val="auto"/>
          <w:sz w:val="24"/>
          <w:highlight w:val="none"/>
          <w:u w:val="single"/>
          <w:lang w:val="en-US" w:eastAsia="zh-CN"/>
        </w:rPr>
        <w:t>4</w:t>
      </w:r>
      <w:r>
        <w:rPr>
          <w:rFonts w:hint="default" w:ascii="Times New Roman" w:hAnsi="Times New Roman" w:cs="Times New Roman"/>
          <w:bCs/>
          <w:color w:val="auto"/>
          <w:sz w:val="24"/>
          <w:highlight w:val="none"/>
          <w:u w:val="single"/>
        </w:rPr>
        <w:t>年</w:t>
      </w:r>
      <w:r>
        <w:rPr>
          <w:rFonts w:hint="eastAsia" w:ascii="Times New Roman" w:hAnsi="Times New Roman" w:cs="Times New Roman"/>
          <w:bCs/>
          <w:color w:val="auto"/>
          <w:sz w:val="24"/>
          <w:highlight w:val="none"/>
          <w:u w:val="single"/>
          <w:lang w:val="en-US" w:eastAsia="zh-CN"/>
        </w:rPr>
        <w:t>3</w:t>
      </w:r>
      <w:r>
        <w:rPr>
          <w:rFonts w:hint="default" w:ascii="Times New Roman" w:hAnsi="Times New Roman" w:cs="Times New Roman"/>
          <w:bCs/>
          <w:color w:val="auto"/>
          <w:sz w:val="24"/>
          <w:highlight w:val="none"/>
          <w:u w:val="single"/>
          <w:lang w:val="en-US" w:eastAsia="zh-CN"/>
        </w:rPr>
        <w:t>月</w:t>
      </w:r>
      <w:r>
        <w:rPr>
          <w:rFonts w:hint="eastAsia" w:ascii="Times New Roman" w:hAnsi="Times New Roman" w:cs="Times New Roman"/>
          <w:bCs/>
          <w:color w:val="auto"/>
          <w:sz w:val="24"/>
          <w:highlight w:val="none"/>
          <w:u w:val="single"/>
          <w:lang w:val="en-US" w:eastAsia="zh-CN"/>
        </w:rPr>
        <w:t>29</w:t>
      </w:r>
      <w:r>
        <w:rPr>
          <w:rFonts w:hint="default" w:ascii="Times New Roman" w:hAnsi="Times New Roman" w:cs="Times New Roman"/>
          <w:bCs/>
          <w:color w:val="auto"/>
          <w:sz w:val="24"/>
          <w:highlight w:val="none"/>
          <w:u w:val="single"/>
        </w:rPr>
        <w:t>日</w:t>
      </w:r>
      <w:r>
        <w:rPr>
          <w:rFonts w:hint="eastAsia" w:ascii="Times New Roman" w:hAnsi="Times New Roman" w:cs="Times New Roman"/>
          <w:bCs/>
          <w:color w:val="auto"/>
          <w:sz w:val="24"/>
          <w:highlight w:val="none"/>
          <w:u w:val="single"/>
          <w:lang w:val="en-US" w:eastAsia="zh-CN"/>
        </w:rPr>
        <w:t>17:00</w:t>
      </w:r>
      <w:r>
        <w:rPr>
          <w:rFonts w:hint="default" w:ascii="Times New Roman" w:hAnsi="Times New Roman" w:cs="Times New Roman"/>
          <w:color w:val="auto"/>
          <w:sz w:val="24"/>
          <w:szCs w:val="28"/>
          <w:highlight w:val="none"/>
          <w:u w:val="single"/>
        </w:rPr>
        <w:t>（北京时间）</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九</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【攀枝花市东区三线大道北段118号2栋</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bCs/>
          <w:color w:val="auto"/>
          <w:sz w:val="24"/>
          <w:highlight w:val="none"/>
          <w:u w:val="single"/>
          <w:lang w:val="en-US" w:eastAsia="zh-CN"/>
        </w:rPr>
        <w:t>攀枝花金沙产业投资有限公司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cs="Times New Roman"/>
          <w:color w:val="auto"/>
          <w:sz w:val="24"/>
          <w:highlight w:val="none"/>
        </w:rPr>
      </w:pP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8"/>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8"/>
        <w:spacing w:line="360" w:lineRule="auto"/>
        <w:ind w:left="0" w:leftChars="0"/>
        <w:rPr>
          <w:rFonts w:hint="default" w:ascii="Times New Roman" w:hAnsi="Times New Roman" w:cs="Times New Roman"/>
          <w:color w:val="auto"/>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20"/>
        <w:spacing w:before="0" w:beforeAutospacing="0" w:after="0" w:afterAutospacing="0" w:line="360" w:lineRule="auto"/>
        <w:rPr>
          <w:rFonts w:hint="default" w:ascii="Times New Roman" w:hAnsi="Times New Roman" w:cs="Times New Roman"/>
          <w:color w:val="auto"/>
          <w:sz w:val="24"/>
          <w:szCs w:val="24"/>
          <w:highlight w:val="none"/>
        </w:rPr>
      </w:pPr>
    </w:p>
    <w:p>
      <w:pPr>
        <w:pStyle w:val="4"/>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5"/>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ascii="Times New Roman" w:hAnsi="Times New Roman" w:cs="Times New Roman"/>
                <w:color w:val="auto"/>
                <w:sz w:val="24"/>
                <w:highlight w:val="none"/>
                <w:lang w:val="en-US" w:eastAsia="zh-CN"/>
              </w:rPr>
              <w:t>或国投大厦5楼公示栏</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杨</w:t>
            </w:r>
            <w:r>
              <w:rPr>
                <w:rFonts w:hint="eastAsia" w:ascii="Times New Roman" w:hAnsi="Times New Roman" w:eastAsia="宋体" w:cs="Times New Roman"/>
                <w:color w:val="auto"/>
                <w:sz w:val="24"/>
                <w:highlight w:val="none"/>
                <w:lang w:val="en-US" w:eastAsia="zh-CN"/>
              </w:rPr>
              <w:t>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kern w:val="0"/>
                <w:sz w:val="24"/>
                <w:szCs w:val="24"/>
                <w:highlight w:val="none"/>
                <w:u w:val="single"/>
                <w:lang w:val="en-US" w:eastAsia="zh-CN" w:bidi="ar-SA"/>
              </w:rPr>
              <w:t>最高限价</w:t>
            </w:r>
            <w:r>
              <w:rPr>
                <w:rFonts w:hint="eastAsia" w:ascii="Times New Roman" w:hAnsi="Times New Roman" w:cs="Times New Roman"/>
                <w:b/>
                <w:bCs/>
                <w:color w:val="auto"/>
                <w:kern w:val="0"/>
                <w:sz w:val="24"/>
                <w:szCs w:val="24"/>
                <w:highlight w:val="none"/>
                <w:u w:val="single"/>
                <w:lang w:val="en-US" w:eastAsia="zh-CN" w:bidi="ar-SA"/>
              </w:rPr>
              <w:t>4.5</w:t>
            </w:r>
            <w:r>
              <w:rPr>
                <w:rFonts w:hint="eastAsia" w:ascii="Times New Roman" w:hAnsi="Times New Roman" w:eastAsia="宋体" w:cs="Times New Roman"/>
                <w:b/>
                <w:bCs/>
                <w:color w:val="auto"/>
                <w:kern w:val="0"/>
                <w:sz w:val="24"/>
                <w:szCs w:val="24"/>
                <w:highlight w:val="none"/>
                <w:u w:val="single"/>
                <w:lang w:val="en-US" w:eastAsia="zh-CN" w:bidi="ar-SA"/>
              </w:rPr>
              <w:t>万元</w:t>
            </w:r>
            <w:r>
              <w:rPr>
                <w:rFonts w:hint="eastAsia" w:ascii="Times New Roman" w:hAnsi="Times New Roman" w:eastAsia="宋体" w:cs="Times New Roman"/>
                <w:b/>
                <w:bCs/>
                <w:color w:val="auto"/>
                <w:kern w:val="0"/>
                <w:sz w:val="24"/>
                <w:szCs w:val="24"/>
                <w:highlight w:val="none"/>
                <w:lang w:val="en-US" w:eastAsia="zh-CN" w:bidi="ar-SA"/>
              </w:rPr>
              <w:t>，本次询价采用</w:t>
            </w:r>
            <w:r>
              <w:rPr>
                <w:rFonts w:hint="eastAsia" w:ascii="Times New Roman" w:hAnsi="Times New Roman" w:cs="Times New Roman"/>
                <w:b/>
                <w:bCs/>
                <w:color w:val="auto"/>
                <w:kern w:val="0"/>
                <w:sz w:val="24"/>
                <w:szCs w:val="24"/>
                <w:highlight w:val="none"/>
                <w:lang w:val="en-US" w:eastAsia="zh-CN" w:bidi="ar-SA"/>
              </w:rPr>
              <w:t>清单、单价结合总价方式</w:t>
            </w:r>
            <w:r>
              <w:rPr>
                <w:rFonts w:hint="eastAsia" w:ascii="Times New Roman" w:hAnsi="Times New Roman" w:eastAsia="宋体" w:cs="Times New Roman"/>
                <w:b/>
                <w:bCs/>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不收取采购代理服务费。清单详见第</w:t>
            </w:r>
            <w:r>
              <w:rPr>
                <w:rFonts w:hint="eastAsia" w:ascii="Times New Roman" w:hAnsi="Times New Roman" w:cs="Times New Roman"/>
                <w:color w:val="auto"/>
                <w:kern w:val="0"/>
                <w:sz w:val="24"/>
                <w:szCs w:val="24"/>
                <w:highlight w:val="none"/>
                <w:lang w:val="en-US" w:eastAsia="zh-CN" w:bidi="ar-SA"/>
              </w:rPr>
              <w:t>三</w:t>
            </w:r>
            <w:r>
              <w:rPr>
                <w:rFonts w:hint="eastAsia" w:ascii="Times New Roman" w:hAnsi="Times New Roman" w:eastAsia="宋体" w:cs="Times New Roman"/>
                <w:color w:val="auto"/>
                <w:kern w:val="0"/>
                <w:sz w:val="24"/>
                <w:szCs w:val="24"/>
                <w:highlight w:val="none"/>
                <w:lang w:val="en-US" w:eastAsia="zh-CN" w:bidi="ar-SA"/>
              </w:rPr>
              <w:t>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邮寄地址：攀枝花市东区三线大道北段118号2栋5楼</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pStyle w:val="10"/>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10"/>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杨</w:t>
            </w:r>
            <w:r>
              <w:rPr>
                <w:rFonts w:hint="default" w:ascii="Times New Roman" w:hAnsi="Times New Roman"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tc>
      </w:tr>
    </w:tbl>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
          <w:bCs w:val="0"/>
          <w:color w:val="auto"/>
          <w:sz w:val="24"/>
          <w:highlight w:val="none"/>
          <w:u w:val="single"/>
          <w:lang w:val="en-US" w:eastAsia="zh-CN"/>
        </w:rPr>
        <w:t>攀</w:t>
      </w:r>
      <w:r>
        <w:rPr>
          <w:rFonts w:hint="default" w:ascii="Times New Roman" w:hAnsi="Times New Roman" w:eastAsia="宋体" w:cs="Times New Roman"/>
          <w:b/>
          <w:bCs w:val="0"/>
          <w:color w:val="auto"/>
          <w:sz w:val="24"/>
          <w:highlight w:val="none"/>
          <w:u w:val="single"/>
          <w:lang w:val="en-US" w:eastAsia="zh-CN"/>
        </w:rPr>
        <w:t>枝花金沙产业投资有限公司</w:t>
      </w:r>
      <w:r>
        <w:rPr>
          <w:rFonts w:hint="eastAsia" w:ascii="Times New Roman" w:hAnsi="Times New Roman" w:eastAsia="宋体" w:cs="Times New Roman"/>
          <w:b/>
          <w:bCs w:val="0"/>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向采购单位构提出申请，由采购人决定是否采纳供应商的申请事项。</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w:t>
      </w:r>
      <w:bookmarkStart w:id="61" w:name="_GoBack"/>
      <w:bookmarkEnd w:id="61"/>
      <w:r>
        <w:rPr>
          <w:rFonts w:hint="default" w:ascii="Times New Roman" w:hAnsi="Times New Roman" w:cs="Times New Roman"/>
          <w:color w:val="auto"/>
          <w:sz w:val="24"/>
          <w:highlight w:val="none"/>
        </w:rPr>
        <w:t>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sz w:val="32"/>
          <w:szCs w:val="32"/>
          <w:highlight w:val="none"/>
        </w:rPr>
      </w:pPr>
      <w:bookmarkStart w:id="44" w:name="_Toc96804766"/>
      <w:bookmarkStart w:id="45" w:name="_Toc217446057"/>
      <w:bookmarkStart w:id="46" w:name="_Toc183582232"/>
      <w:bookmarkStart w:id="47" w:name="_Toc183682369"/>
      <w:r>
        <w:rPr>
          <w:rFonts w:hint="default" w:ascii="Times New Roman" w:hAnsi="Times New Roman" w:eastAsia="宋体" w:cs="Times New Roman"/>
          <w:color w:val="auto"/>
          <w:sz w:val="24"/>
          <w:szCs w:val="24"/>
          <w:highlight w:val="none"/>
        </w:rPr>
        <w:br w:type="page"/>
      </w:r>
      <w:bookmarkEnd w:id="44"/>
      <w:bookmarkStart w:id="48" w:name="_Toc96804768"/>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8"/>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10"/>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pStyle w:val="11"/>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9" w:name="_Toc96761121"/>
      <w:bookmarkStart w:id="50" w:name="_Toc96446260"/>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20"/>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20"/>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9"/>
    <w:bookmarkEnd w:id="50"/>
    <w:p>
      <w:pPr>
        <w:pStyle w:val="19"/>
        <w:spacing w:before="0" w:after="0" w:line="360" w:lineRule="auto"/>
        <w:rPr>
          <w:rFonts w:ascii="Times New Roman" w:hAnsi="Times New Roman"/>
          <w:color w:val="auto"/>
          <w:highlight w:val="none"/>
        </w:rPr>
      </w:pPr>
      <w:bookmarkStart w:id="51" w:name="_Toc11764033"/>
      <w:bookmarkStart w:id="52" w:name="_Toc96446261"/>
      <w:bookmarkStart w:id="53" w:name="_Toc11832144"/>
      <w:bookmarkStart w:id="54" w:name="_Toc96761122"/>
      <w:bookmarkStart w:id="55" w:name="_Toc94345768"/>
      <w:bookmarkStart w:id="56" w:name="_Toc13564302"/>
      <w:r>
        <w:rPr>
          <w:rFonts w:ascii="Times New Roman" w:hAnsi="Times New Roman"/>
          <w:color w:val="auto"/>
          <w:highlight w:val="none"/>
        </w:rPr>
        <w:br w:type="page"/>
      </w:r>
      <w:r>
        <w:rPr>
          <w:rFonts w:ascii="Times New Roman" w:hAnsi="Times New Roman"/>
          <w:color w:val="auto"/>
          <w:highlight w:val="none"/>
        </w:rPr>
        <w:t>二、法定代表人身份证明</w:t>
      </w:r>
      <w:bookmarkEnd w:id="51"/>
      <w:bookmarkEnd w:id="52"/>
      <w:bookmarkEnd w:id="53"/>
      <w:bookmarkEnd w:id="54"/>
      <w:bookmarkEnd w:id="55"/>
      <w:bookmarkEnd w:id="56"/>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9"/>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7"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7"/>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5.参加本次采购活动前三年内（202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年1月1日以来），在经营活动中没有重大违法记录；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8.在采购人处没有不良施工记录或拖欠农民工工资情形；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10.法律、行政法规规定的其他条件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11.本项目不允许联合体参加。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1"/>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rPr>
          <w:rFonts w:hint="default"/>
          <w:color w:val="auto"/>
          <w:highlight w:val="none"/>
        </w:rPr>
      </w:pPr>
    </w:p>
    <w:p>
      <w:pPr>
        <w:pStyle w:val="29"/>
        <w:rPr>
          <w:rFonts w:hint="default"/>
          <w:color w:val="auto"/>
          <w:highlight w:val="none"/>
        </w:rPr>
      </w:pPr>
    </w:p>
    <w:p>
      <w:pPr>
        <w:numPr>
          <w:ilvl w:val="0"/>
          <w:numId w:val="1"/>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我方自愿按照</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文件规定的各项要求向采购人提供所需货物，</w:t>
      </w:r>
      <w:r>
        <w:rPr>
          <w:rFonts w:hint="default" w:ascii="Times New Roman" w:hAnsi="Times New Roman" w:cs="Times New Roman"/>
          <w:bCs/>
          <w:color w:val="auto"/>
          <w:spacing w:val="8"/>
          <w:sz w:val="24"/>
          <w:highlight w:val="none"/>
        </w:rPr>
        <w:t>提供的货物等所有权及知识产权等权利无瑕疵，</w:t>
      </w:r>
      <w:r>
        <w:rPr>
          <w:rFonts w:hint="default" w:ascii="Times New Roman" w:hAnsi="Times New Roman" w:cs="Times New Roman"/>
          <w:color w:val="auto"/>
          <w:sz w:val="24"/>
          <w:highlight w:val="none"/>
        </w:rPr>
        <w:t>并保证报价不高于市场平均价。</w:t>
      </w:r>
    </w:p>
    <w:p>
      <w:pPr>
        <w:pStyle w:val="2"/>
        <w:rPr>
          <w:rFonts w:hint="default" w:eastAsia="仿宋_GB2312"/>
          <w:color w:val="auto"/>
          <w:highlight w:val="none"/>
          <w:lang w:val="en-US" w:eastAsia="zh-CN"/>
        </w:rPr>
      </w:pPr>
      <w:r>
        <w:rPr>
          <w:rFonts w:hint="eastAsia"/>
          <w:color w:val="auto"/>
          <w:highlight w:val="none"/>
          <w:lang w:val="en-US" w:eastAsia="zh-CN"/>
        </w:rPr>
        <w:t>（报价清单）</w:t>
      </w:r>
    </w:p>
    <w:p>
      <w:pPr>
        <w:pStyle w:val="5"/>
        <w:bidi w:val="0"/>
        <w:ind w:firstLine="643" w:firstLineChars="200"/>
        <w:rPr>
          <w:rFonts w:hint="eastAsia"/>
          <w:color w:val="auto"/>
          <w:highlight w:val="none"/>
          <w:lang w:val="en-US" w:eastAsia="zh-CN"/>
        </w:rPr>
      </w:pPr>
    </w:p>
    <w:p>
      <w:pPr>
        <w:pStyle w:val="2"/>
        <w:rPr>
          <w:rFonts w:hint="eastAsia"/>
          <w:color w:val="auto"/>
          <w:highlight w:val="none"/>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widowControl w:val="0"/>
        <w:numPr>
          <w:ilvl w:val="0"/>
          <w:numId w:val="0"/>
        </w:numPr>
        <w:autoSpaceDE w:val="0"/>
        <w:autoSpaceDN w:val="0"/>
        <w:adjustRightInd w:val="0"/>
        <w:rPr>
          <w:rFonts w:hint="default"/>
          <w:color w:val="auto"/>
          <w:highlight w:val="none"/>
          <w:lang w:val="en-US" w:eastAsia="zh-CN"/>
        </w:rPr>
      </w:pPr>
    </w:p>
    <w:p>
      <w:pPr>
        <w:rPr>
          <w:rFonts w:hint="default"/>
          <w:color w:val="auto"/>
          <w:highlight w:val="none"/>
          <w:lang w:val="en-US" w:eastAsia="zh-CN"/>
        </w:rPr>
      </w:pPr>
    </w:p>
    <w:p>
      <w:pPr>
        <w:pStyle w:val="10"/>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pPr>
    </w:p>
    <w:p>
      <w:pPr>
        <w:pStyle w:val="11"/>
        <w:rPr>
          <w:rFonts w:hint="default"/>
          <w:color w:val="auto"/>
          <w:highlight w:val="none"/>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tbl>
      <w:tblPr>
        <w:tblW w:w="10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47"/>
        <w:gridCol w:w="1100"/>
        <w:gridCol w:w="1080"/>
        <w:gridCol w:w="1431"/>
        <w:gridCol w:w="1484"/>
        <w:gridCol w:w="1770"/>
        <w:gridCol w:w="1407"/>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10366"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bdr w:val="none" w:color="auto" w:sz="0" w:space="0"/>
                <w:lang w:val="en-US" w:eastAsia="zh-CN" w:bidi="ar"/>
              </w:rPr>
              <w:t>国投大厦14-15层装修改造工程窗帘采购项目报价表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序号</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bdr w:val="none" w:color="auto" w:sz="0" w:space="0"/>
                <w:lang w:val="en-US" w:eastAsia="zh-CN" w:bidi="ar"/>
              </w:rPr>
              <w:t>14楼-1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窗号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高度（米）</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22</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bdr w:val="none" w:color="auto" w:sz="0" w:space="0"/>
                <w:lang w:val="en-US" w:eastAsia="zh-CN" w:bidi="ar"/>
              </w:rPr>
              <w:t>14楼-2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窗号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高度（米）</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1.85+1.88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45</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46</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bdr w:val="none" w:color="auto" w:sz="0" w:space="0"/>
                <w:lang w:val="en-US" w:eastAsia="zh-CN" w:bidi="ar"/>
              </w:rPr>
              <w:t>15楼-1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窗号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高度（米）</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卫生间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3.43+0.7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弯轨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卫生间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弯轨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69</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70</w:t>
            </w:r>
          </w:p>
        </w:tc>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bdr w:val="none" w:color="auto" w:sz="0" w:space="0"/>
                <w:lang w:val="en-US" w:eastAsia="zh-CN" w:bidi="ar"/>
              </w:rPr>
              <w:t>15楼-2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窗号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高度（米）</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需要用布料米数（米）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90</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91</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bdr w:val="none" w:color="auto" w:sz="0" w:space="0"/>
                <w:lang w:val="en-US" w:eastAsia="zh-CN" w:bidi="ar"/>
              </w:rPr>
              <w:t>统计汇总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auto"/>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数量</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不含税单价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93</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布料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501.6</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以元/m为单位。</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5"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94</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布带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501.6</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以</w:t>
            </w:r>
            <w:r>
              <w:rPr>
                <w:rFonts w:hint="eastAsia" w:ascii="宋体" w:hAnsi="宋体" w:eastAsia="宋体" w:cs="宋体"/>
                <w:b/>
                <w:bCs/>
                <w:i w:val="0"/>
                <w:iCs w:val="0"/>
                <w:color w:val="auto"/>
                <w:kern w:val="0"/>
                <w:sz w:val="22"/>
                <w:szCs w:val="22"/>
                <w:u w:val="none"/>
                <w:lang w:val="en-US" w:eastAsia="zh-CN" w:bidi="ar"/>
              </w:rPr>
              <w:t>元/</w:t>
            </w:r>
            <w:r>
              <w:rPr>
                <w:rFonts w:hint="eastAsia" w:ascii="宋体" w:hAnsi="宋体" w:eastAsia="宋体" w:cs="宋体"/>
                <w:b/>
                <w:bCs/>
                <w:i w:val="0"/>
                <w:iCs w:val="0"/>
                <w:color w:val="auto"/>
                <w:kern w:val="0"/>
                <w:sz w:val="22"/>
                <w:szCs w:val="22"/>
                <w:u w:val="none"/>
                <w:bdr w:val="none" w:color="auto" w:sz="0" w:space="0"/>
                <w:lang w:val="en-US" w:eastAsia="zh-CN" w:bidi="ar"/>
              </w:rPr>
              <w:t>m为单位。</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95</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布帘轨道</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209</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以</w:t>
            </w:r>
            <w:r>
              <w:rPr>
                <w:rFonts w:hint="eastAsia" w:ascii="宋体" w:hAnsi="宋体" w:eastAsia="宋体" w:cs="宋体"/>
                <w:b/>
                <w:bCs/>
                <w:i w:val="0"/>
                <w:iCs w:val="0"/>
                <w:color w:val="auto"/>
                <w:kern w:val="0"/>
                <w:sz w:val="22"/>
                <w:szCs w:val="22"/>
                <w:u w:val="none"/>
                <w:lang w:val="en-US" w:eastAsia="zh-CN" w:bidi="ar"/>
              </w:rPr>
              <w:t>元/</w:t>
            </w:r>
            <w:r>
              <w:rPr>
                <w:rFonts w:hint="eastAsia" w:ascii="宋体" w:hAnsi="宋体" w:eastAsia="宋体" w:cs="宋体"/>
                <w:b/>
                <w:bCs/>
                <w:i w:val="0"/>
                <w:iCs w:val="0"/>
                <w:color w:val="auto"/>
                <w:kern w:val="0"/>
                <w:sz w:val="22"/>
                <w:szCs w:val="22"/>
                <w:u w:val="none"/>
                <w:bdr w:val="none" w:color="auto" w:sz="0" w:space="0"/>
                <w:lang w:val="en-US" w:eastAsia="zh-CN" w:bidi="ar"/>
              </w:rPr>
              <w:t>m为单位。</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96</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卷帘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以</w:t>
            </w:r>
            <w:r>
              <w:rPr>
                <w:rFonts w:hint="eastAsia" w:ascii="宋体" w:hAnsi="宋体" w:eastAsia="宋体" w:cs="宋体"/>
                <w:b/>
                <w:bCs/>
                <w:i w:val="0"/>
                <w:iCs w:val="0"/>
                <w:color w:val="auto"/>
                <w:kern w:val="0"/>
                <w:sz w:val="22"/>
                <w:szCs w:val="22"/>
                <w:u w:val="none"/>
                <w:lang w:val="en-US" w:eastAsia="zh-CN" w:bidi="ar"/>
              </w:rPr>
              <w:t>元/</w:t>
            </w:r>
            <w:r>
              <w:rPr>
                <w:rFonts w:hint="eastAsia" w:ascii="宋体" w:hAnsi="宋体" w:eastAsia="宋体" w:cs="宋体"/>
                <w:b/>
                <w:bCs/>
                <w:i w:val="0"/>
                <w:iCs w:val="0"/>
                <w:color w:val="auto"/>
                <w:kern w:val="0"/>
                <w:sz w:val="22"/>
                <w:szCs w:val="22"/>
                <w:u w:val="none"/>
                <w:bdr w:val="none" w:color="auto" w:sz="0" w:space="0"/>
                <w:lang w:val="en-US" w:eastAsia="zh-CN" w:bidi="ar"/>
              </w:rPr>
              <w:t>㎡为单位，</w:t>
            </w:r>
            <w:r>
              <w:rPr>
                <w:rFonts w:hint="eastAsia" w:ascii="宋体" w:hAnsi="宋体" w:eastAsia="宋体" w:cs="宋体"/>
                <w:b/>
                <w:bCs/>
                <w:i w:val="0"/>
                <w:iCs w:val="0"/>
                <w:color w:val="auto"/>
                <w:kern w:val="0"/>
                <w:sz w:val="22"/>
                <w:szCs w:val="22"/>
                <w:u w:val="none"/>
                <w:lang w:val="en-US" w:eastAsia="zh-CN" w:bidi="ar"/>
              </w:rPr>
              <w:t>安装位置与甲方现场确认</w:t>
            </w:r>
            <w:r>
              <w:rPr>
                <w:rFonts w:hint="eastAsia" w:ascii="宋体" w:hAnsi="宋体" w:eastAsia="宋体" w:cs="宋体"/>
                <w:b/>
                <w:bCs/>
                <w:i w:val="0"/>
                <w:iCs w:val="0"/>
                <w:color w:val="auto"/>
                <w:kern w:val="0"/>
                <w:sz w:val="22"/>
                <w:szCs w:val="22"/>
                <w:u w:val="none"/>
                <w:bdr w:val="none" w:color="auto" w:sz="0" w:space="0"/>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0" w:hRule="atLeast"/>
        </w:trPr>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97</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卷帘轨道</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43</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以元/m为单位，</w:t>
            </w:r>
            <w:r>
              <w:rPr>
                <w:rFonts w:hint="eastAsia" w:ascii="宋体" w:hAnsi="宋体" w:eastAsia="宋体" w:cs="宋体"/>
                <w:b/>
                <w:bCs/>
                <w:i w:val="0"/>
                <w:iCs w:val="0"/>
                <w:color w:val="auto"/>
                <w:kern w:val="0"/>
                <w:sz w:val="22"/>
                <w:szCs w:val="22"/>
                <w:u w:val="none"/>
                <w:bdr w:val="none" w:color="auto" w:sz="0" w:space="0"/>
                <w:lang w:val="en-US" w:eastAsia="zh-CN" w:bidi="ar"/>
              </w:rPr>
              <w:t>安装位置与甲方现场确认。</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不含税合计金额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99</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税率(</w:t>
            </w:r>
            <w:r>
              <w:rPr>
                <w:rStyle w:val="43"/>
                <w:color w:val="auto"/>
                <w:bdr w:val="none" w:color="auto" w:sz="0" w:space="0"/>
                <w:lang w:val="en-US" w:eastAsia="zh-CN" w:bidi="ar"/>
              </w:rPr>
              <w:t xml:space="preserve">   </w:t>
            </w:r>
            <w:r>
              <w:rPr>
                <w:rStyle w:val="44"/>
                <w:color w:val="auto"/>
                <w:bdr w:val="none" w:color="auto" w:sz="0" w:space="0"/>
                <w:lang w:val="en-US" w:eastAsia="zh-CN" w:bidi="ar"/>
              </w:rPr>
              <w:t>)税金合计：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single"/>
              </w:rPr>
            </w:pPr>
            <w:r>
              <w:rPr>
                <w:rFonts w:hint="eastAsia" w:ascii="宋体" w:hAnsi="宋体" w:eastAsia="宋体" w:cs="宋体"/>
                <w:b/>
                <w:bCs/>
                <w:i w:val="0"/>
                <w:iCs w:val="0"/>
                <w:color w:val="auto"/>
                <w:kern w:val="0"/>
                <w:sz w:val="22"/>
                <w:szCs w:val="22"/>
                <w:u w:val="single"/>
                <w:bdr w:val="none" w:color="auto" w:sz="0" w:space="0"/>
                <w:lang w:val="en-US" w:eastAsia="zh-CN" w:bidi="ar"/>
              </w:rPr>
              <w:t xml:space="preserve">        </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开具增值税专用发票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10366"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最终结算价以现场实际书面验收确认的数量×中标单价为准，税金根据供应商的税务核定费率计取，税金费率需自行填写。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含税总报价：</w:t>
            </w:r>
            <w:r>
              <w:rPr>
                <w:rStyle w:val="43"/>
                <w:color w:val="auto"/>
                <w:bdr w:val="none" w:color="auto" w:sz="0" w:space="0"/>
                <w:lang w:val="en-US" w:eastAsia="zh-CN" w:bidi="ar"/>
              </w:rPr>
              <w:t xml:space="preserve">              </w:t>
            </w:r>
            <w:r>
              <w:rPr>
                <w:rStyle w:val="44"/>
                <w:color w:val="auto"/>
                <w:bdr w:val="none" w:color="auto" w:sz="0" w:space="0"/>
                <w:lang w:val="en-US" w:eastAsia="zh-CN" w:bidi="ar"/>
              </w:rPr>
              <w:t xml:space="preserve"> 元，大写:</w:t>
            </w:r>
            <w:r>
              <w:rPr>
                <w:rStyle w:val="43"/>
                <w:color w:val="auto"/>
                <w:bdr w:val="none" w:color="auto" w:sz="0" w:space="0"/>
                <w:lang w:val="en-US" w:eastAsia="zh-CN" w:bidi="ar"/>
              </w:rPr>
              <w:t xml:space="preserve">                   </w:t>
            </w:r>
            <w:r>
              <w:rPr>
                <w:rStyle w:val="44"/>
                <w:color w:val="auto"/>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报价单位(盖章)：                       报价时间：</w:t>
            </w:r>
          </w:p>
        </w:tc>
      </w:tr>
    </w:tbl>
    <w:p>
      <w:pPr>
        <w:pStyle w:val="11"/>
        <w:ind w:left="0" w:leftChars="0" w:firstLine="0" w:firstLineChars="0"/>
        <w:jc w:val="both"/>
        <w:rPr>
          <w:rFonts w:hint="default"/>
          <w:color w:val="auto"/>
          <w:highlight w:val="none"/>
          <w:lang w:val="en-US" w:eastAsia="zh-CN"/>
        </w:rPr>
      </w:pPr>
    </w:p>
    <w:p>
      <w:pPr>
        <w:pStyle w:val="11"/>
        <w:ind w:left="0" w:leftChars="0" w:firstLine="0" w:firstLineChars="0"/>
        <w:jc w:val="left"/>
        <w:rPr>
          <w:rFonts w:hint="default"/>
          <w:b/>
          <w:bCs/>
          <w:color w:val="auto"/>
          <w:highlight w:val="none"/>
          <w:lang w:val="en-US" w:eastAsia="zh-CN"/>
        </w:rPr>
        <w:sectPr>
          <w:pgSz w:w="11906" w:h="16838"/>
          <w:pgMar w:top="720" w:right="720" w:bottom="720" w:left="720" w:header="851" w:footer="992" w:gutter="0"/>
          <w:pgNumType w:fmt="numberInDash"/>
          <w:cols w:space="720" w:num="1"/>
          <w:docGrid w:type="lines" w:linePitch="312" w:charSpace="0"/>
        </w:sectPr>
      </w:pPr>
    </w:p>
    <w:p>
      <w:pPr>
        <w:pStyle w:val="4"/>
        <w:jc w:val="center"/>
        <w:rPr>
          <w:rFonts w:hint="default" w:ascii="Times New Roman" w:hAnsi="Times New Roman" w:eastAsia="宋体" w:cs="Times New Roman"/>
          <w:color w:val="auto"/>
          <w:highlight w:val="none"/>
          <w:lang w:eastAsia="zh-CN"/>
        </w:rPr>
      </w:pPr>
      <w:bookmarkStart w:id="58"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8"/>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color w:val="auto"/>
          <w:highlight w:val="none"/>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具备</w:t>
            </w:r>
            <w:r>
              <w:rPr>
                <w:rFonts w:hint="eastAsia" w:ascii="Times New Roman" w:hAnsi="Times New Roman" w:cs="Times New Roman"/>
                <w:color w:val="auto"/>
                <w:szCs w:val="21"/>
                <w:highlight w:val="none"/>
                <w:lang w:val="en-US" w:eastAsia="zh-CN"/>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2021</w:t>
            </w:r>
            <w:r>
              <w:rPr>
                <w:rFonts w:hint="default" w:ascii="Times New Roman" w:hAnsi="Times New Roman" w:cs="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3"/>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3"/>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评分</w:t>
            </w:r>
          </w:p>
          <w:p>
            <w:pPr>
              <w:keepNext w:val="0"/>
              <w:keepLines w:val="0"/>
              <w:suppressLineNumbers w:val="0"/>
              <w:spacing w:before="0" w:beforeAutospacing="0" w:after="0" w:afterAutospacing="0" w:line="500" w:lineRule="exact"/>
              <w:ind w:left="0" w:right="0"/>
              <w:jc w:val="center"/>
              <w:rPr>
                <w:rFonts w:hint="eastAsia"/>
                <w:b/>
                <w:bCs/>
                <w:color w:val="auto"/>
                <w:highlight w:val="none"/>
              </w:rPr>
            </w:pPr>
            <w:r>
              <w:rPr>
                <w:rFonts w:hint="eastAsia"/>
                <w:b/>
                <w:bCs/>
                <w:color w:val="auto"/>
                <w:highlight w:val="none"/>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auto"/>
                <w:highlight w:val="none"/>
              </w:rPr>
            </w:pPr>
            <w:r>
              <w:rPr>
                <w:rFonts w:hint="eastAsia"/>
                <w:b/>
                <w:bCs/>
                <w:color w:val="auto"/>
                <w:highlight w:val="none"/>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auto"/>
                <w:highlight w:val="none"/>
              </w:rPr>
            </w:pPr>
            <w:r>
              <w:rPr>
                <w:rFonts w:hint="eastAsia"/>
                <w:b/>
                <w:bCs/>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rPr>
            </w:pPr>
            <w:r>
              <w:rPr>
                <w:rFonts w:hint="eastAsia"/>
                <w:color w:val="auto"/>
                <w:highlight w:val="none"/>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30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highlight w:val="none"/>
              </w:rPr>
              <w:t>本评分项按照10分制评分，评分为优(9.5,10]分，优良(8.5,9.5]分，良好(7.5,8.5]分,中(6.5,7.5]分,合格[6，6.5]分，较差5分、差4分，未提供响应内容不得分，区间评分步长为0.1分</w:t>
            </w:r>
            <w:r>
              <w:rPr>
                <w:rFonts w:hint="eastAsia"/>
                <w:color w:val="auto"/>
                <w:highlight w:val="none"/>
                <w:lang w:eastAsia="zh-CN"/>
              </w:rPr>
              <w:t>；</w:t>
            </w:r>
            <w:r>
              <w:rPr>
                <w:rFonts w:hint="eastAsia"/>
                <w:color w:val="auto"/>
                <w:highlight w:val="none"/>
                <w:lang w:val="en-US" w:eastAsia="zh-CN"/>
              </w:rPr>
              <w:t>有明显错误的不得分。</w:t>
            </w:r>
            <w:r>
              <w:rPr>
                <w:rFonts w:hint="eastAsia"/>
                <w:color w:val="auto"/>
                <w:highlight w:val="none"/>
              </w:rPr>
              <w:t>本评分项的权重分值</w:t>
            </w:r>
            <w:r>
              <w:rPr>
                <w:rFonts w:hint="eastAsia"/>
                <w:color w:val="auto"/>
                <w:highlight w:val="none"/>
                <w:lang w:val="en-US" w:eastAsia="zh-CN"/>
              </w:rPr>
              <w:t>40</w:t>
            </w:r>
            <w:r>
              <w:rPr>
                <w:rFonts w:hint="eastAsia"/>
                <w:color w:val="auto"/>
                <w:highlight w:val="none"/>
              </w:rPr>
              <w:t>分，本评分项的最终权重得分=（10分制评分/10）*权重分值。</w:t>
            </w:r>
          </w:p>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履约能力</w:t>
            </w:r>
          </w:p>
          <w:p>
            <w:pPr>
              <w:keepNext w:val="0"/>
              <w:keepLines w:val="0"/>
              <w:suppressLineNumbers w:val="0"/>
              <w:spacing w:before="0" w:beforeAutospacing="0" w:after="0" w:afterAutospacing="0" w:line="500" w:lineRule="exact"/>
              <w:ind w:left="0" w:right="0"/>
              <w:jc w:val="center"/>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提供窗帘销售或窗帘安装项目供货合同，每提供一个得2分，本项总分10分。</w:t>
            </w:r>
          </w:p>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eastAsia="宋体"/>
                <w:color w:val="auto"/>
                <w:highlight w:val="none"/>
                <w:lang w:val="en-US" w:eastAsia="zh-CN"/>
              </w:rPr>
            </w:pPr>
            <w:r>
              <w:rPr>
                <w:rFonts w:hint="eastAsia"/>
                <w:color w:val="auto"/>
                <w:highlight w:val="none"/>
                <w:lang w:val="en-US" w:eastAsia="zh-CN"/>
              </w:rPr>
              <w:t>4</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产品性能</w:t>
            </w: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20</w:t>
            </w:r>
          </w:p>
        </w:tc>
        <w:tc>
          <w:tcPr>
            <w:tcW w:w="4815" w:type="dxa"/>
            <w:tcBorders>
              <w:top w:val="single" w:color="auto" w:sz="4" w:space="0"/>
              <w:left w:val="nil"/>
              <w:right w:val="single" w:color="auto" w:sz="4" w:space="0"/>
            </w:tcBorders>
            <w:noWrap w:val="0"/>
            <w:vAlign w:val="center"/>
          </w:tcPr>
          <w:p>
            <w:pPr>
              <w:pStyle w:val="2"/>
              <w:spacing w:line="240" w:lineRule="auto"/>
              <w:rPr>
                <w:rFonts w:hint="eastAsia" w:ascii="Calibri" w:hAnsi="Calibri" w:eastAsia="宋体" w:cs="Times New Roman"/>
                <w:color w:val="auto"/>
                <w:kern w:val="2"/>
                <w:sz w:val="21"/>
                <w:szCs w:val="24"/>
                <w:highlight w:val="none"/>
                <w:lang w:val="en-US" w:eastAsia="zh-CN" w:bidi="ar-SA"/>
              </w:rPr>
            </w:pPr>
            <w:r>
              <w:rPr>
                <w:rFonts w:hint="eastAsia" w:ascii="Calibri" w:eastAsia="宋体" w:cs="Times New Roman"/>
                <w:color w:val="auto"/>
                <w:kern w:val="2"/>
                <w:sz w:val="21"/>
                <w:szCs w:val="24"/>
                <w:highlight w:val="none"/>
                <w:lang w:val="en-US" w:eastAsia="zh-CN" w:bidi="ar-SA"/>
              </w:rPr>
              <w:t>1.</w:t>
            </w:r>
            <w:r>
              <w:rPr>
                <w:rFonts w:hint="eastAsia" w:ascii="Calibri" w:hAnsi="Calibri" w:eastAsia="宋体" w:cs="Times New Roman"/>
                <w:color w:val="auto"/>
                <w:kern w:val="2"/>
                <w:sz w:val="21"/>
                <w:szCs w:val="24"/>
                <w:highlight w:val="none"/>
                <w:lang w:val="en-US" w:eastAsia="zh-CN" w:bidi="ar-SA"/>
              </w:rPr>
              <w:t>提供窗帘及轨道产品合格证(或检测报告)和实物样品。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default" w:eastAsia="宋体"/>
                <w:color w:val="auto"/>
                <w:highlight w:val="none"/>
                <w:lang w:val="en-US" w:eastAsia="zh-CN"/>
              </w:rPr>
            </w:pPr>
            <w:r>
              <w:rPr>
                <w:rFonts w:hint="eastAsia" w:cs="Times New Roman"/>
                <w:color w:val="auto"/>
                <w:kern w:val="2"/>
                <w:sz w:val="21"/>
                <w:szCs w:val="24"/>
                <w:highlight w:val="none"/>
                <w:lang w:val="en-US" w:eastAsia="zh-CN" w:bidi="ar-SA"/>
              </w:rPr>
              <w:t>2.</w:t>
            </w:r>
            <w:r>
              <w:rPr>
                <w:rFonts w:hint="eastAsia" w:ascii="Calibri" w:hAnsi="Calibri" w:eastAsia="宋体" w:cs="Times New Roman"/>
                <w:color w:val="auto"/>
                <w:kern w:val="2"/>
                <w:sz w:val="21"/>
                <w:szCs w:val="24"/>
                <w:highlight w:val="none"/>
                <w:lang w:val="en-US" w:eastAsia="zh-CN" w:bidi="ar-SA"/>
              </w:rPr>
              <w:t>根据提供</w:t>
            </w:r>
            <w:r>
              <w:rPr>
                <w:rFonts w:hint="eastAsia" w:cs="Times New Roman"/>
                <w:color w:val="auto"/>
                <w:kern w:val="2"/>
                <w:sz w:val="21"/>
                <w:szCs w:val="24"/>
                <w:highlight w:val="none"/>
                <w:lang w:val="en-US" w:eastAsia="zh-CN" w:bidi="ar-SA"/>
              </w:rPr>
              <w:t>样品的质量、材质、色彩、款式、观感等</w:t>
            </w:r>
            <w:r>
              <w:rPr>
                <w:rFonts w:hint="eastAsia" w:ascii="Calibri" w:hAnsi="Calibri" w:eastAsia="宋体" w:cs="Times New Roman"/>
                <w:color w:val="auto"/>
                <w:kern w:val="2"/>
                <w:sz w:val="21"/>
                <w:szCs w:val="24"/>
                <w:highlight w:val="none"/>
                <w:lang w:val="en-US" w:eastAsia="zh-CN" w:bidi="ar-SA"/>
              </w:rPr>
              <w:t>综合打分，不提供不得分，此项最高得20分。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9" w:name="_Toc217446099"/>
      <w:bookmarkStart w:id="60" w:name="_Toc21744605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9"/>
      <w:bookmarkEnd w:id="60"/>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highlight w:val="none"/>
        </w:rPr>
      </w:pPr>
      <w:r>
        <w:rPr>
          <w:rFonts w:hint="eastAsia" w:ascii="宋体" w:hAnsi="宋体" w:eastAsia="宋体" w:cs="宋体"/>
          <w:b/>
          <w:bCs w:val="0"/>
          <w:color w:val="auto"/>
          <w:kern w:val="2"/>
          <w:sz w:val="36"/>
          <w:szCs w:val="36"/>
          <w:highlight w:val="none"/>
        </w:rPr>
        <w:t>采购合同（草案）</w:t>
      </w:r>
    </w:p>
    <w:p>
      <w:pPr>
        <w:spacing w:line="360" w:lineRule="auto"/>
        <w:jc w:val="center"/>
        <w:rPr>
          <w:rFonts w:hint="eastAsia" w:ascii="宋体" w:hAnsi="宋体"/>
          <w:color w:val="auto"/>
          <w:sz w:val="24"/>
          <w:highlight w:val="none"/>
        </w:rPr>
      </w:pPr>
      <w:r>
        <w:rPr>
          <w:rFonts w:hint="eastAsia" w:ascii="宋体" w:hAnsi="宋体" w:eastAsia="宋体" w:cs="宋体"/>
          <w:b/>
          <w:bCs/>
          <w:i w:val="0"/>
          <w:iCs w:val="0"/>
          <w:color w:val="auto"/>
          <w:kern w:val="0"/>
          <w:sz w:val="40"/>
          <w:szCs w:val="40"/>
          <w:u w:val="none"/>
          <w:lang w:val="en-US" w:eastAsia="zh-CN" w:bidi="ar"/>
        </w:rPr>
        <w:t>国投大厦14-15层装修改造工程窗帘采购项目</w:t>
      </w:r>
      <w:r>
        <w:rPr>
          <w:rFonts w:hint="eastAsia" w:ascii="黑体" w:hAnsi="黑体" w:eastAsia="黑体"/>
          <w:color w:val="auto"/>
          <w:sz w:val="44"/>
          <w:szCs w:val="44"/>
          <w:highlight w:val="none"/>
        </w:rPr>
        <w:t>采购合同</w:t>
      </w:r>
    </w:p>
    <w:p>
      <w:pPr>
        <w:wordWrap w:val="0"/>
        <w:spacing w:before="240" w:line="360" w:lineRule="auto"/>
        <w:jc w:val="right"/>
        <w:rPr>
          <w:rFonts w:hint="eastAsia" w:ascii="黑体" w:hAnsi="黑体" w:eastAsia="黑体"/>
          <w:color w:val="auto"/>
          <w:sz w:val="44"/>
          <w:szCs w:val="44"/>
          <w:highlight w:val="none"/>
          <w:u w:val="single"/>
        </w:rPr>
      </w:pPr>
      <w:r>
        <w:rPr>
          <w:rFonts w:hint="eastAsia" w:ascii="宋体" w:hAnsi="宋体"/>
          <w:color w:val="auto"/>
          <w:sz w:val="24"/>
          <w:highlight w:val="none"/>
        </w:rPr>
        <w:t xml:space="preserve">合同编号：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2" w:firstLineChars="200"/>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rPr>
        <w:t>采购方（甲方）：</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供应方（乙方）：</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》、《中华人民共和国产品质量法》等相关法律法规，双方经过充分友好协商，本着诚实守信、平等互利的原则，就甲方向乙方购买</w:t>
      </w:r>
      <w:r>
        <w:rPr>
          <w:rFonts w:hint="eastAsia" w:ascii="宋体" w:hAnsi="宋体"/>
          <w:color w:val="auto"/>
          <w:sz w:val="24"/>
          <w:highlight w:val="none"/>
          <w:u w:val="single"/>
        </w:rPr>
        <w:t xml:space="preserve">             </w:t>
      </w:r>
      <w:r>
        <w:rPr>
          <w:rFonts w:hint="eastAsia" w:ascii="宋体" w:hAnsi="宋体"/>
          <w:color w:val="auto"/>
          <w:sz w:val="24"/>
          <w:highlight w:val="none"/>
        </w:rPr>
        <w:t>（以下简称 “货物”）用于</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b/>
          <w:bCs/>
          <w:color w:val="auto"/>
          <w:sz w:val="24"/>
          <w:highlight w:val="none"/>
          <w:u w:val="single"/>
          <w:lang w:val="en-US" w:eastAsia="zh-CN"/>
        </w:rPr>
        <w:t>国投大厦14-15层装修改造工程窗帘采购项目</w:t>
      </w:r>
      <w:r>
        <w:rPr>
          <w:rFonts w:hint="eastAsia" w:ascii="宋体" w:hAnsi="宋体" w:cs="Times New Roman"/>
          <w:color w:val="auto"/>
          <w:sz w:val="24"/>
          <w:highlight w:val="none"/>
          <w:u w:val="single"/>
          <w:lang w:val="en-US" w:eastAsia="zh-CN"/>
        </w:rPr>
        <w:t xml:space="preserve">  </w:t>
      </w:r>
      <w:r>
        <w:rPr>
          <w:rFonts w:hint="eastAsia" w:ascii="宋体" w:hAnsi="宋体"/>
          <w:color w:val="auto"/>
          <w:sz w:val="24"/>
          <w:highlight w:val="none"/>
        </w:rPr>
        <w:t>工程的相关事宜，达成如下合同条款。</w:t>
      </w:r>
    </w:p>
    <w:p>
      <w:pPr>
        <w:spacing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一、供货基本情况</w:t>
      </w:r>
    </w:p>
    <w:p>
      <w:p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供货表单</w:t>
      </w:r>
    </w:p>
    <w:p>
      <w:pPr>
        <w:spacing w:line="360" w:lineRule="auto"/>
        <w:ind w:left="359" w:leftChars="171"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w:t>
      </w:r>
    </w:p>
    <w:tbl>
      <w:tblPr>
        <w:tblStyle w:val="2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9"/>
        <w:gridCol w:w="1717"/>
        <w:gridCol w:w="1070"/>
        <w:gridCol w:w="795"/>
        <w:gridCol w:w="1275"/>
        <w:gridCol w:w="130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429"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货物名称</w:t>
            </w:r>
          </w:p>
        </w:tc>
        <w:tc>
          <w:tcPr>
            <w:tcW w:w="1717"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7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数量</w:t>
            </w:r>
          </w:p>
        </w:tc>
        <w:tc>
          <w:tcPr>
            <w:tcW w:w="79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单位</w:t>
            </w:r>
          </w:p>
        </w:tc>
        <w:tc>
          <w:tcPr>
            <w:tcW w:w="127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含税单价/元（%）</w:t>
            </w:r>
          </w:p>
        </w:tc>
        <w:tc>
          <w:tcPr>
            <w:tcW w:w="1305"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含税</w:t>
            </w:r>
            <w:r>
              <w:rPr>
                <w:rFonts w:hint="eastAsia" w:ascii="宋体" w:hAnsi="宋体"/>
                <w:color w:val="auto"/>
                <w:sz w:val="24"/>
                <w:highlight w:val="none"/>
                <w:lang w:val="en-US" w:eastAsia="zh-CN"/>
              </w:rPr>
              <w:t>总</w:t>
            </w:r>
            <w:r>
              <w:rPr>
                <w:rFonts w:hint="eastAsia" w:ascii="宋体" w:hAnsi="宋体"/>
                <w:color w:val="auto"/>
                <w:sz w:val="24"/>
                <w:highlight w:val="none"/>
              </w:rPr>
              <w:t>计/元</w:t>
            </w:r>
          </w:p>
        </w:tc>
        <w:tc>
          <w:tcPr>
            <w:tcW w:w="1021"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olor w:val="auto"/>
                <w:sz w:val="24"/>
                <w:highlight w:val="none"/>
                <w:lang w:val="en-US" w:eastAsia="zh-CN"/>
              </w:rPr>
            </w:pPr>
          </w:p>
        </w:tc>
        <w:tc>
          <w:tcPr>
            <w:tcW w:w="1275" w:type="dxa"/>
            <w:noWrap w:val="0"/>
            <w:vAlign w:val="center"/>
          </w:tcPr>
          <w:p>
            <w:pPr>
              <w:spacing w:line="360" w:lineRule="auto"/>
              <w:ind w:firstLine="480" w:firstLineChars="200"/>
              <w:jc w:val="center"/>
              <w:rPr>
                <w:rFonts w:hint="eastAsia" w:ascii="宋体" w:hAnsi="宋体"/>
                <w:color w:val="auto"/>
                <w:sz w:val="24"/>
                <w:highlight w:val="none"/>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p>
        </w:tc>
        <w:tc>
          <w:tcPr>
            <w:tcW w:w="1429" w:type="dxa"/>
            <w:noWrap w:val="0"/>
            <w:vAlign w:val="top"/>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p>
        </w:tc>
        <w:tc>
          <w:tcPr>
            <w:tcW w:w="1429" w:type="dxa"/>
            <w:noWrap w:val="0"/>
            <w:vAlign w:val="center"/>
          </w:tcPr>
          <w:p>
            <w:pPr>
              <w:spacing w:line="360" w:lineRule="auto"/>
              <w:jc w:val="center"/>
              <w:rPr>
                <w:rFonts w:hint="eastAsia" w:ascii="宋体" w:hAnsi="宋体" w:eastAsia="宋体" w:cs="Times New Roman"/>
                <w:color w:val="auto"/>
                <w:sz w:val="24"/>
                <w:highlight w:val="none"/>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w:t>
            </w:r>
          </w:p>
        </w:tc>
        <w:tc>
          <w:tcPr>
            <w:tcW w:w="1429"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w:t>
            </w:r>
          </w:p>
        </w:tc>
        <w:tc>
          <w:tcPr>
            <w:tcW w:w="1429"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717" w:type="dxa"/>
            <w:noWrap w:val="0"/>
            <w:vAlign w:val="center"/>
          </w:tcPr>
          <w:p>
            <w:pPr>
              <w:spacing w:line="360" w:lineRule="auto"/>
              <w:ind w:firstLine="480" w:firstLineChars="200"/>
              <w:jc w:val="center"/>
              <w:rPr>
                <w:rFonts w:hint="eastAsia" w:ascii="宋体" w:hAnsi="宋体"/>
                <w:color w:val="auto"/>
                <w:sz w:val="24"/>
                <w:highlight w:val="none"/>
              </w:rPr>
            </w:pPr>
          </w:p>
        </w:tc>
        <w:tc>
          <w:tcPr>
            <w:tcW w:w="1070"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795" w:type="dxa"/>
            <w:noWrap w:val="0"/>
            <w:vAlign w:val="center"/>
          </w:tcPr>
          <w:p>
            <w:pPr>
              <w:spacing w:line="360" w:lineRule="auto"/>
              <w:jc w:val="center"/>
              <w:rPr>
                <w:rFonts w:hint="default" w:ascii="宋体" w:hAnsi="宋体" w:eastAsia="宋体" w:cs="Times New Roman"/>
                <w:color w:val="auto"/>
                <w:sz w:val="24"/>
                <w:highlight w:val="none"/>
                <w:lang w:val="en-US" w:eastAsia="zh-CN"/>
              </w:rPr>
            </w:pPr>
          </w:p>
        </w:tc>
        <w:tc>
          <w:tcPr>
            <w:tcW w:w="1275" w:type="dxa"/>
            <w:noWrap w:val="0"/>
            <w:vAlign w:val="center"/>
          </w:tcPr>
          <w:p>
            <w:pPr>
              <w:spacing w:line="360" w:lineRule="auto"/>
              <w:jc w:val="center"/>
              <w:rPr>
                <w:rFonts w:hint="eastAsia" w:ascii="宋体" w:hAnsi="宋体" w:eastAsia="宋体" w:cs="Times New Roman"/>
                <w:color w:val="auto"/>
                <w:sz w:val="24"/>
                <w:highlight w:val="none"/>
                <w:lang w:val="en-US" w:eastAsia="zh-CN"/>
              </w:rPr>
            </w:pPr>
          </w:p>
        </w:tc>
        <w:tc>
          <w:tcPr>
            <w:tcW w:w="1305" w:type="dxa"/>
            <w:noWrap w:val="0"/>
            <w:vAlign w:val="center"/>
          </w:tcPr>
          <w:p>
            <w:pPr>
              <w:spacing w:line="360" w:lineRule="auto"/>
              <w:ind w:firstLine="480" w:firstLineChars="200"/>
              <w:jc w:val="center"/>
              <w:rPr>
                <w:rFonts w:hint="eastAsia" w:ascii="宋体" w:hAnsi="宋体"/>
                <w:color w:val="auto"/>
                <w:sz w:val="24"/>
                <w:highlight w:val="none"/>
              </w:rPr>
            </w:pPr>
          </w:p>
        </w:tc>
        <w:tc>
          <w:tcPr>
            <w:tcW w:w="1021" w:type="dxa"/>
            <w:noWrap w:val="0"/>
            <w:vAlign w:val="center"/>
          </w:tcPr>
          <w:p>
            <w:pPr>
              <w:spacing w:line="360" w:lineRule="auto"/>
              <w:ind w:firstLine="480" w:firstLineChars="200"/>
              <w:jc w:val="center"/>
              <w:rPr>
                <w:rFonts w:hint="eastAsia" w:ascii="宋体" w:hAnsi="宋体"/>
                <w:color w:val="auto"/>
                <w:sz w:val="24"/>
                <w:highlight w:val="none"/>
              </w:rPr>
            </w:pPr>
          </w:p>
        </w:tc>
      </w:tr>
    </w:tbl>
    <w:p>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双方其他约定</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二、合同价款</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合同价款</w:t>
      </w:r>
    </w:p>
    <w:p>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rPr>
        <w:t>经双方商定，</w:t>
      </w:r>
      <w:r>
        <w:rPr>
          <w:rFonts w:hint="eastAsia" w:ascii="宋体" w:hAnsi="宋体"/>
          <w:color w:val="auto"/>
          <w:sz w:val="24"/>
          <w:highlight w:val="none"/>
          <w:lang w:val="en-US" w:eastAsia="zh-CN"/>
        </w:rPr>
        <w:t>以招标清单及工程量的</w:t>
      </w:r>
      <w:r>
        <w:rPr>
          <w:rFonts w:hint="eastAsia" w:ascii="宋体" w:hAnsi="宋体"/>
          <w:color w:val="auto"/>
          <w:sz w:val="24"/>
          <w:highlight w:val="none"/>
        </w:rPr>
        <w:t>合同总价款为：（大写）</w:t>
      </w:r>
      <w:r>
        <w:rPr>
          <w:rFonts w:hint="eastAsia"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实际结算总价，以甲方现场实际收方量*中标单价计取，</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此</w:t>
      </w:r>
      <w:r>
        <w:rPr>
          <w:rFonts w:hint="eastAsia" w:ascii="宋体" w:hAnsi="宋体"/>
          <w:color w:val="auto"/>
          <w:sz w:val="24"/>
          <w:highlight w:val="none"/>
          <w:lang w:val="en-US" w:eastAsia="zh-CN"/>
        </w:rPr>
        <w:t>中标单价</w:t>
      </w:r>
      <w:r>
        <w:rPr>
          <w:rFonts w:hint="eastAsia" w:ascii="宋体" w:hAnsi="宋体"/>
          <w:color w:val="auto"/>
          <w:sz w:val="24"/>
          <w:highlight w:val="none"/>
        </w:rPr>
        <w:t>金额为闭口价，包括所采购的本体货物、特殊工具、备品备件、包装费、运输费、</w:t>
      </w:r>
      <w:r>
        <w:rPr>
          <w:rFonts w:hint="eastAsia" w:ascii="宋体" w:hAnsi="宋体"/>
          <w:color w:val="auto"/>
          <w:sz w:val="24"/>
          <w:highlight w:val="none"/>
          <w:lang w:val="en-US" w:eastAsia="zh-CN"/>
        </w:rPr>
        <w:t>上下车费、</w:t>
      </w:r>
      <w:r>
        <w:rPr>
          <w:rFonts w:hint="eastAsia" w:ascii="宋体" w:hAnsi="宋体"/>
          <w:color w:val="auto"/>
          <w:sz w:val="24"/>
          <w:highlight w:val="none"/>
        </w:rPr>
        <w:t>保险费、税费、安装费、培训费、技术服务费等款项，不因政策、材料、费率变动等因素的变化再作调整。</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合同定金、预付款、履约保证金及质保金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合同定金数额、退还或抵扣方式和时间：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无定金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合同预付款数额、退还或抵扣方式和时间：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无预付款</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履约保证金数额、退还或抵扣方式和时间：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无保证金</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质保金数额及退还方式和时间：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货款结算时间、方式</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甲方付款方式及时间: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合同签订后7个工作日内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乙方收款账户：</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乙方向甲方提供税票的种类及时间：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增值税</w:t>
      </w:r>
      <w:r>
        <w:rPr>
          <w:rFonts w:hint="eastAsia" w:ascii="宋体" w:hAnsi="宋体"/>
          <w:color w:val="auto"/>
          <w:sz w:val="24"/>
          <w:highlight w:val="none"/>
          <w:u w:val="single"/>
          <w:lang w:val="en-US" w:eastAsia="zh-CN"/>
        </w:rPr>
        <w:t>专用</w:t>
      </w:r>
      <w:r>
        <w:rPr>
          <w:rFonts w:hint="eastAsia" w:ascii="宋体" w:hAnsi="宋体"/>
          <w:color w:val="auto"/>
          <w:sz w:val="24"/>
          <w:highlight w:val="none"/>
          <w:u w:val="single"/>
        </w:rPr>
        <w:t xml:space="preserve">发票 （时间具体填写）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三、交货时间、地点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交货时间：</w:t>
      </w:r>
      <w:r>
        <w:rPr>
          <w:rFonts w:hint="eastAsia" w:ascii="宋体" w:hAnsi="宋体"/>
          <w:color w:val="auto"/>
          <w:sz w:val="24"/>
          <w:highlight w:val="none"/>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合同签订后3个工作日内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若无其他特别约定，乙方应于本合同生效后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天前，乙方应</w:t>
      </w:r>
      <w:r>
        <w:rPr>
          <w:rFonts w:hint="eastAsia" w:ascii="宋体" w:hAnsi="宋体"/>
          <w:color w:val="auto"/>
          <w:sz w:val="24"/>
          <w:highlight w:val="none"/>
          <w:lang w:val="en-US" w:eastAsia="zh-CN"/>
        </w:rPr>
        <w:t>以</w:t>
      </w:r>
      <w:r>
        <w:rPr>
          <w:rFonts w:hint="eastAsia" w:ascii="宋体" w:hAnsi="宋体"/>
          <w:color w:val="auto"/>
          <w:sz w:val="24"/>
          <w:highlight w:val="none"/>
          <w:u w:val="single"/>
          <w:lang w:val="en-US" w:eastAsia="zh-CN"/>
        </w:rPr>
        <w:t>书面形式</w:t>
      </w:r>
      <w:r>
        <w:rPr>
          <w:rFonts w:hint="eastAsia" w:ascii="宋体" w:hAnsi="宋体"/>
          <w:color w:val="auto"/>
          <w:sz w:val="24"/>
          <w:highlight w:val="none"/>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交货地点：</w:t>
      </w:r>
      <w:r>
        <w:rPr>
          <w:rFonts w:hint="eastAsia" w:ascii="宋体" w:hAnsi="宋体"/>
          <w:color w:val="auto"/>
          <w:sz w:val="24"/>
          <w:highlight w:val="none"/>
          <w:u w:val="single"/>
        </w:rPr>
        <w:t xml:space="preserve">   </w:t>
      </w:r>
      <w:r>
        <w:rPr>
          <w:rFonts w:hint="eastAsia"/>
          <w:b w:val="0"/>
          <w:i w:val="0"/>
          <w:caps w:val="0"/>
          <w:color w:val="auto"/>
          <w:spacing w:val="0"/>
          <w:w w:val="100"/>
          <w:sz w:val="24"/>
          <w:szCs w:val="24"/>
          <w:highlight w:val="none"/>
          <w:u w:val="single" w:color="000000"/>
          <w:lang w:val="en-US" w:eastAsia="zh-CN"/>
        </w:rPr>
        <w:t>四川省攀枝花市东区三线大道北段118号2栋</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四、质量标准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双方约定的质量标准：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所有产品满足设计单位甲方验收要求</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货物的适用范围及局限性：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货物质量与法律法规的符合性</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五、包装</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highlight w:val="none"/>
          <w:u w:val="single"/>
        </w:rPr>
      </w:pPr>
      <w:r>
        <w:rPr>
          <w:rFonts w:hint="eastAsia" w:ascii="宋体" w:hAnsi="宋体"/>
          <w:color w:val="auto"/>
          <w:sz w:val="24"/>
          <w:highlight w:val="none"/>
        </w:rPr>
        <w:t xml:space="preserve"> 其他包装要求：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六、运输、装卸及保险</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运输方式：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乙方负责车辆运输至项目现场并承担运费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七、验收与交付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验收方式、时间与验收标准：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货物到场后通知甲方现场验货</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验收与交付的清单及凭证，以甲乙双方签字盖章为准。                                                                                                                                          </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、质保期及质量保修</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质保期：乙方提供的产品或服务的质保期为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以供货产品国家相关政策规定的保质期为准</w:t>
      </w:r>
      <w:r>
        <w:rPr>
          <w:rFonts w:hint="eastAsia" w:ascii="宋体" w:hAnsi="宋体"/>
          <w:color w:val="auto"/>
          <w:sz w:val="24"/>
          <w:highlight w:val="none"/>
          <w:u w:val="single"/>
        </w:rPr>
        <w:t xml:space="preserve">    </w:t>
      </w:r>
      <w:r>
        <w:rPr>
          <w:rFonts w:hint="eastAsia" w:ascii="宋体" w:hAnsi="宋体"/>
          <w:color w:val="auto"/>
          <w:sz w:val="24"/>
          <w:highlight w:val="none"/>
        </w:rPr>
        <w:t>，从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到场</w:t>
      </w:r>
      <w:r>
        <w:rPr>
          <w:rFonts w:hint="eastAsia" w:ascii="宋体" w:hAnsi="宋体"/>
          <w:color w:val="auto"/>
          <w:sz w:val="24"/>
          <w:highlight w:val="none"/>
          <w:u w:val="single"/>
        </w:rPr>
        <w:t xml:space="preserve">  </w:t>
      </w:r>
      <w:r>
        <w:rPr>
          <w:rFonts w:hint="eastAsia" w:ascii="宋体" w:hAnsi="宋体"/>
          <w:color w:val="auto"/>
          <w:sz w:val="24"/>
          <w:highlight w:val="none"/>
        </w:rPr>
        <w:t>之日开始起算。</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、违约责任</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不能交货：乙方逾期交货超过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天视为不能交货，或者有证据表明乙方不能交货，则甲方有权终止全部或未交货部分的合同，乙方向甲方承担合同总价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%的违约金，违约金不足以弥补甲方损失的，甲方有权向乙方追偿。</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逾期交货赔偿费：乙方每逾期一天按逾期部分货款总额的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%/天计。逾期交货超过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质量缺陷：乙方供应的货物质量达不到合同规定的标准，应向甲方支付合同总价</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 xml:space="preserve"> </w:t>
      </w:r>
      <w:r>
        <w:rPr>
          <w:rFonts w:hint="eastAsia" w:ascii="宋体" w:hAnsi="宋体"/>
          <w:color w:val="auto"/>
          <w:sz w:val="24"/>
          <w:highlight w:val="none"/>
        </w:rPr>
        <w:t>%的违约金，甲方可拒绝接收或让步接收处理，并要求乙方承担相应损失。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数量缺陷：乙方未按合同约定的数量交货时，甲方选择退货的，乙方应向甲方支付未交货部分货款总值的</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%的违约金，并承担由于退货所造成的损失；甲方要求乙方如数补交的，乙方应在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天内补齐，逾期不能补齐的，乙方应向甲方支付未交货部分货款总值的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%的违约金，并承担由此给甲方造成的其他损失。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包装缺陷：乙方未按合同约定包装，给甲方造成损失的应向甲方承担合同总价款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%的违约金，并赔偿甲方由于包装问题遭受的损失。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合同的转让与分供： 乙方擅自转让供货义务或者采取分供方式供货的，应向甲方承担本合同总价款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甲方逾期付款及逾期收货的：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十、不可抗力及风险承担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、争议解决方式</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本合同一式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份，具有同等效力。</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、其他约定</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本合同履行过程中，双方关于本合同的变更、补充协议、结算等必须经甲方指定负责人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本合同是否为涉密合同（是/否）：</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（以下无正文）</w:t>
      </w:r>
    </w:p>
    <w:p>
      <w:pPr>
        <w:spacing w:line="360" w:lineRule="auto"/>
        <w:ind w:firstLine="480" w:firstLineChars="200"/>
        <w:jc w:val="left"/>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乙方（盖章）：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法定代表人或者授权代理人（签章）：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wordWrap w:val="0"/>
        <w:spacing w:line="360" w:lineRule="auto"/>
        <w:ind w:right="44"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签约地点：</w:t>
      </w:r>
      <w:r>
        <w:rPr>
          <w:rFonts w:hint="eastAsia" w:ascii="宋体" w:hAnsi="宋体"/>
          <w:color w:val="auto"/>
          <w:sz w:val="24"/>
          <w:highlight w:val="none"/>
          <w:u w:val="single"/>
        </w:rPr>
        <w:t xml:space="preserve">                    </w:t>
      </w:r>
    </w:p>
    <w:p>
      <w:pPr>
        <w:spacing w:line="577" w:lineRule="exact"/>
        <w:rPr>
          <w:rFonts w:hint="eastAsia" w:ascii="宋体" w:hAnsi="宋体" w:eastAsia="宋体" w:cs="宋体"/>
          <w:b/>
          <w:bCs/>
          <w:color w:val="auto"/>
          <w:kern w:val="2"/>
          <w:sz w:val="24"/>
          <w:szCs w:val="24"/>
          <w:highlight w:val="none"/>
          <w:lang w:val="en-US" w:eastAsia="zh-CN" w:bidi="ar"/>
        </w:rPr>
      </w:pPr>
    </w:p>
    <w:p>
      <w:pPr>
        <w:jc w:val="center"/>
        <w:rPr>
          <w:rFonts w:hint="eastAsia"/>
          <w:b/>
          <w:color w:val="auto"/>
          <w:sz w:val="48"/>
          <w:szCs w:val="48"/>
          <w:highlight w:val="none"/>
        </w:rPr>
      </w:pPr>
    </w:p>
    <w:p>
      <w:pPr>
        <w:jc w:val="center"/>
        <w:rPr>
          <w:rFonts w:hint="eastAsia"/>
          <w:b/>
          <w:color w:val="auto"/>
          <w:sz w:val="48"/>
          <w:szCs w:val="48"/>
          <w:highlight w:val="none"/>
        </w:rPr>
      </w:pPr>
    </w:p>
    <w:p>
      <w:pPr>
        <w:pStyle w:val="36"/>
        <w:numPr>
          <w:ilvl w:val="0"/>
          <w:numId w:val="0"/>
        </w:numPr>
        <w:tabs>
          <w:tab w:val="left" w:pos="877"/>
          <w:tab w:val="left" w:pos="3635"/>
          <w:tab w:val="left" w:pos="6602"/>
        </w:tabs>
        <w:spacing w:before="26" w:line="319" w:lineRule="auto"/>
        <w:ind w:left="657" w:leftChars="0" w:right="210" w:rightChars="0"/>
        <w:jc w:val="left"/>
        <w:rPr>
          <w:color w:val="auto"/>
          <w:highlight w:val="none"/>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CEB"/>
    <w:multiLevelType w:val="singleLevel"/>
    <w:tmpl w:val="C2699CEB"/>
    <w:lvl w:ilvl="0" w:tentative="0">
      <w:start w:val="1"/>
      <w:numFmt w:val="decimal"/>
      <w:lvlText w:val="%1."/>
      <w:lvlJc w:val="left"/>
      <w:pPr>
        <w:tabs>
          <w:tab w:val="left" w:pos="312"/>
        </w:tabs>
      </w:pPr>
    </w:lvl>
  </w:abstractNum>
  <w:abstractNum w:abstractNumId="1">
    <w:nsid w:val="E8C434E4"/>
    <w:multiLevelType w:val="singleLevel"/>
    <w:tmpl w:val="E8C434E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000000"/>
    <w:rsid w:val="005C088A"/>
    <w:rsid w:val="025D08EA"/>
    <w:rsid w:val="037E6D6A"/>
    <w:rsid w:val="04475A76"/>
    <w:rsid w:val="049B6EAD"/>
    <w:rsid w:val="05A64022"/>
    <w:rsid w:val="05BA4A9A"/>
    <w:rsid w:val="07744094"/>
    <w:rsid w:val="07D973F5"/>
    <w:rsid w:val="07E332FF"/>
    <w:rsid w:val="07FC173B"/>
    <w:rsid w:val="096C2D31"/>
    <w:rsid w:val="09C845C0"/>
    <w:rsid w:val="09DD1360"/>
    <w:rsid w:val="0A6C4B35"/>
    <w:rsid w:val="0BAF04D3"/>
    <w:rsid w:val="0CB823CE"/>
    <w:rsid w:val="0ECA0CE1"/>
    <w:rsid w:val="0EF80C3B"/>
    <w:rsid w:val="0F256C33"/>
    <w:rsid w:val="108B0F0D"/>
    <w:rsid w:val="111B23C6"/>
    <w:rsid w:val="11575FEA"/>
    <w:rsid w:val="129272BC"/>
    <w:rsid w:val="12B5244C"/>
    <w:rsid w:val="13482467"/>
    <w:rsid w:val="136C3083"/>
    <w:rsid w:val="17681DB3"/>
    <w:rsid w:val="18661881"/>
    <w:rsid w:val="18A14941"/>
    <w:rsid w:val="19D547F3"/>
    <w:rsid w:val="1A4077C6"/>
    <w:rsid w:val="1BA109F0"/>
    <w:rsid w:val="1D022362"/>
    <w:rsid w:val="1D1E64B9"/>
    <w:rsid w:val="1D6F437D"/>
    <w:rsid w:val="1D920A05"/>
    <w:rsid w:val="1FEB08E1"/>
    <w:rsid w:val="22BE4F7D"/>
    <w:rsid w:val="23F23130"/>
    <w:rsid w:val="24CD76F9"/>
    <w:rsid w:val="250F2FA2"/>
    <w:rsid w:val="25C56C46"/>
    <w:rsid w:val="26E26AAC"/>
    <w:rsid w:val="27895B59"/>
    <w:rsid w:val="2A102562"/>
    <w:rsid w:val="2C6F1319"/>
    <w:rsid w:val="2CA37292"/>
    <w:rsid w:val="31C75BFC"/>
    <w:rsid w:val="326A2A2B"/>
    <w:rsid w:val="32786421"/>
    <w:rsid w:val="32D8298F"/>
    <w:rsid w:val="33A06705"/>
    <w:rsid w:val="33E800AC"/>
    <w:rsid w:val="353D61D5"/>
    <w:rsid w:val="36DD557A"/>
    <w:rsid w:val="371807ED"/>
    <w:rsid w:val="38C62413"/>
    <w:rsid w:val="38D50A7D"/>
    <w:rsid w:val="39033292"/>
    <w:rsid w:val="390F0422"/>
    <w:rsid w:val="39CF4C1E"/>
    <w:rsid w:val="39DC420F"/>
    <w:rsid w:val="3AB24230"/>
    <w:rsid w:val="3AB807D8"/>
    <w:rsid w:val="3AF2035C"/>
    <w:rsid w:val="3E602870"/>
    <w:rsid w:val="3F8E49A9"/>
    <w:rsid w:val="3FCC2425"/>
    <w:rsid w:val="3FDA0DE9"/>
    <w:rsid w:val="42F97BDF"/>
    <w:rsid w:val="43290B76"/>
    <w:rsid w:val="4373061C"/>
    <w:rsid w:val="43947AC8"/>
    <w:rsid w:val="443B5FD6"/>
    <w:rsid w:val="44CB6B5A"/>
    <w:rsid w:val="45322F35"/>
    <w:rsid w:val="460F771A"/>
    <w:rsid w:val="4668303D"/>
    <w:rsid w:val="469B2D5C"/>
    <w:rsid w:val="46AF2D9C"/>
    <w:rsid w:val="47C87B80"/>
    <w:rsid w:val="49B900A4"/>
    <w:rsid w:val="49D96075"/>
    <w:rsid w:val="4B2565A4"/>
    <w:rsid w:val="4B410375"/>
    <w:rsid w:val="4D1B0752"/>
    <w:rsid w:val="4D652C75"/>
    <w:rsid w:val="4DB35754"/>
    <w:rsid w:val="4E235B10"/>
    <w:rsid w:val="4F8C5937"/>
    <w:rsid w:val="526C3AC7"/>
    <w:rsid w:val="52BC4786"/>
    <w:rsid w:val="552F123F"/>
    <w:rsid w:val="56C37E91"/>
    <w:rsid w:val="56D91CFA"/>
    <w:rsid w:val="58BE54E5"/>
    <w:rsid w:val="59F120D7"/>
    <w:rsid w:val="5A3F0176"/>
    <w:rsid w:val="5A897643"/>
    <w:rsid w:val="5AD84501"/>
    <w:rsid w:val="5B3E5B74"/>
    <w:rsid w:val="5B822014"/>
    <w:rsid w:val="5C693288"/>
    <w:rsid w:val="5CF378BD"/>
    <w:rsid w:val="5DB6074F"/>
    <w:rsid w:val="5EAC56AE"/>
    <w:rsid w:val="5F9D3319"/>
    <w:rsid w:val="620B6B90"/>
    <w:rsid w:val="62AB0677"/>
    <w:rsid w:val="638A4F49"/>
    <w:rsid w:val="650C334B"/>
    <w:rsid w:val="65746760"/>
    <w:rsid w:val="65E7115D"/>
    <w:rsid w:val="69BF7807"/>
    <w:rsid w:val="6C3F0CC8"/>
    <w:rsid w:val="6D8F68C7"/>
    <w:rsid w:val="6FB76088"/>
    <w:rsid w:val="70B06683"/>
    <w:rsid w:val="70DA234C"/>
    <w:rsid w:val="70EE5FFA"/>
    <w:rsid w:val="743957DE"/>
    <w:rsid w:val="746565D3"/>
    <w:rsid w:val="763A46C5"/>
    <w:rsid w:val="76E27633"/>
    <w:rsid w:val="77735A4F"/>
    <w:rsid w:val="7B9D2AF7"/>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7">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8">
    <w:name w:val="index 8"/>
    <w:basedOn w:val="1"/>
    <w:next w:val="1"/>
    <w:qFormat/>
    <w:uiPriority w:val="0"/>
    <w:pPr>
      <w:ind w:left="1400" w:leftChars="1400"/>
    </w:pPr>
  </w:style>
  <w:style w:type="paragraph" w:styleId="9">
    <w:name w:val="Normal Indent"/>
    <w:basedOn w:val="1"/>
    <w:qFormat/>
    <w:uiPriority w:val="0"/>
    <w:pPr>
      <w:ind w:firstLine="420" w:firstLineChars="200"/>
    </w:pPr>
  </w:style>
  <w:style w:type="paragraph" w:styleId="10">
    <w:name w:val="Body Text"/>
    <w:basedOn w:val="1"/>
    <w:next w:val="11"/>
    <w:qFormat/>
    <w:uiPriority w:val="99"/>
    <w:pPr>
      <w:spacing w:after="120"/>
    </w:pPr>
  </w:style>
  <w:style w:type="paragraph" w:styleId="11">
    <w:name w:val="Body Text First Indent"/>
    <w:basedOn w:val="10"/>
    <w:qFormat/>
    <w:uiPriority w:val="0"/>
    <w:pPr>
      <w:ind w:firstLine="420" w:firstLineChars="100"/>
    </w:pPr>
  </w:style>
  <w:style w:type="paragraph" w:styleId="12">
    <w:name w:val="toc 3"/>
    <w:basedOn w:val="13"/>
    <w:next w:val="13"/>
    <w:unhideWhenUsed/>
    <w:qFormat/>
    <w:uiPriority w:val="39"/>
    <w:pPr>
      <w:widowControl/>
      <w:ind w:left="400" w:right="255"/>
    </w:pPr>
    <w:rPr>
      <w:kern w:val="0"/>
      <w:sz w:val="24"/>
    </w:rPr>
  </w:style>
  <w:style w:type="paragraph" w:customStyle="1" w:styleId="13">
    <w:name w:val="Normal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Date"/>
    <w:basedOn w:val="1"/>
    <w:next w:val="1"/>
    <w:unhideWhenUsed/>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2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3"/>
    <w:qFormat/>
    <w:uiPriority w:val="99"/>
    <w:pPr>
      <w:tabs>
        <w:tab w:val="center" w:pos="4153"/>
        <w:tab w:val="right" w:pos="8306"/>
      </w:tabs>
      <w:snapToGrid w:val="0"/>
      <w:jc w:val="left"/>
    </w:pPr>
    <w:rPr>
      <w:sz w:val="18"/>
      <w:szCs w:val="18"/>
    </w:rPr>
  </w:style>
  <w:style w:type="character" w:customStyle="1" w:styleId="43">
    <w:name w:val="font41"/>
    <w:basedOn w:val="24"/>
    <w:uiPriority w:val="0"/>
    <w:rPr>
      <w:rFonts w:hint="eastAsia" w:ascii="宋体" w:hAnsi="宋体" w:eastAsia="宋体" w:cs="宋体"/>
      <w:b/>
      <w:bCs/>
      <w:color w:val="000000"/>
      <w:sz w:val="22"/>
      <w:szCs w:val="22"/>
      <w:u w:val="single"/>
    </w:rPr>
  </w:style>
  <w:style w:type="character" w:customStyle="1" w:styleId="44">
    <w:name w:val="font31"/>
    <w:basedOn w:val="24"/>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16638</Words>
  <Characters>18137</Characters>
  <Lines>0</Lines>
  <Paragraphs>0</Paragraphs>
  <TotalTime>8</TotalTime>
  <ScaleCrop>false</ScaleCrop>
  <LinksUpToDate>false</LinksUpToDate>
  <CharactersWithSpaces>21664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2024-03-06T01:47:00Z</cp:lastPrinted>
  <dcterms:modified xsi:type="dcterms:W3CDTF">2024-03-28T07:05:02Z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A5E0837187D04F299C39F278A3ED17A6_13</vt:lpwstr>
  </property>
</Properties>
</file>